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E5EAE" w14:textId="5B7ECA1B" w:rsidR="00D87276" w:rsidRDefault="00D87276" w:rsidP="00D87276">
      <w:pPr>
        <w:pStyle w:val="Heading1"/>
        <w:rPr>
          <w:rFonts w:asciiTheme="minorHAnsi" w:hAnsiTheme="minorHAnsi" w:cstheme="minorHAnsi"/>
        </w:rPr>
      </w:pPr>
      <w:bookmarkStart w:id="0" w:name="_Toc17878289"/>
      <w:bookmarkStart w:id="1" w:name="_Hlk20223482"/>
      <w:r w:rsidRPr="00C15715">
        <w:rPr>
          <w:rFonts w:asciiTheme="minorHAnsi" w:hAnsiTheme="minorHAnsi" w:cstheme="minorHAnsi"/>
        </w:rPr>
        <w:t>PAŠREIZĒJĀ SITUĀCIJA</w:t>
      </w:r>
      <w:r w:rsidR="00C15715" w:rsidRPr="00C15715">
        <w:rPr>
          <w:rFonts w:asciiTheme="minorHAnsi" w:hAnsiTheme="minorHAnsi" w:cstheme="minorHAnsi"/>
        </w:rPr>
        <w:t xml:space="preserve"> </w:t>
      </w:r>
      <w:r w:rsidRPr="00C15715">
        <w:rPr>
          <w:rFonts w:asciiTheme="minorHAnsi" w:hAnsiTheme="minorHAnsi" w:cstheme="minorHAnsi"/>
        </w:rPr>
        <w:t>UN PROGNOZES</w:t>
      </w:r>
      <w:bookmarkEnd w:id="0"/>
    </w:p>
    <w:p w14:paraId="19BEDF70" w14:textId="2ADBB34F" w:rsidR="00934EE9" w:rsidRDefault="00934EE9" w:rsidP="00934EE9">
      <w:pPr>
        <w:pStyle w:val="Heading20"/>
      </w:pPr>
      <w:r>
        <w:t>Makroekonomika</w:t>
      </w:r>
      <w:r w:rsidRPr="008B628A">
        <w:t xml:space="preserve"> </w:t>
      </w:r>
    </w:p>
    <w:p w14:paraId="497AB7C3" w14:textId="332D3D75" w:rsidR="00861F83" w:rsidRDefault="003845B4" w:rsidP="00760EA8">
      <w:pPr>
        <w:pStyle w:val="Heading30"/>
      </w:pPr>
      <w:r>
        <w:t>Esošā situācija</w:t>
      </w:r>
    </w:p>
    <w:p w14:paraId="67456A51" w14:textId="54FB989C" w:rsidR="00861F83" w:rsidRDefault="00861F83" w:rsidP="00760EA8">
      <w:pPr>
        <w:spacing w:before="120" w:after="120" w:line="240" w:lineRule="auto"/>
        <w:jc w:val="both"/>
      </w:pPr>
      <w:r>
        <w:t>Iedzīvotāju skaits Latvijā turpina samazināties. Kopš 2010. gada sākuma iedzīvotāju skaits ir samazinājies par 200 tūkstošiem, un 2019. gada sākumā atbilstoši provizoriskiem aprēķiniem tas bija 1 miljons 920 tūkstoši. Iedzīvotāju skaita samazinājuma temps 2018. gadā bija 0,7 % salīdzinājumā ar 2,2 % 2010. gadā. Latvijā iedzīvotāju blīvums ir tikai 30 cilvēku uz 1 km2 . 2018. gadā, mirušo skaitam pārsniedzot dzimušo skaitu (dabiskā kustība), valsts iedzīvotāju skaits samazinājās par 9,4 tūkstošiem, bet ilgtermiņa migrācijas rezultātā – par 4,9 tūkstošiem cilvēku. Kopš 1991. gada iedzīvotāju dabiskais pieaugums Latvijā ir negatīvs. 1990. gadā 69 % no visiem Latvijas iedzīvotājiem ir pilsētu iedzīvotāj, tai skaitā Rīgā dzīvoja aptuveni trešdaļa – 910 tūkstoši Latvijas iedzīvotāju jeb puse no visiem pilsētu iedzīvotājiem. 2018. gadā pilsētu iedzīvotāju īpatsvars nedaudz pārsniedz 68 %.</w:t>
      </w:r>
    </w:p>
    <w:p w14:paraId="4BBE5E8B" w14:textId="2E73DF2E" w:rsidR="00760EA8" w:rsidRDefault="00861F83" w:rsidP="00760EA8">
      <w:pPr>
        <w:spacing w:before="120" w:after="120" w:line="240" w:lineRule="auto"/>
        <w:jc w:val="both"/>
      </w:pPr>
      <w:r>
        <w:t>2018. gadā IKP faktiskajās cenās palielinājās līdz 29,5 miljardiem eiro, bet 2010. gada salīdzināmajās cenās – 23,9 miljardiem eiro, ekonomikas izaugsmes temps pret iepriekšējo gadu bija 4,8 %.</w:t>
      </w:r>
    </w:p>
    <w:p w14:paraId="2E45A095" w14:textId="529F1147" w:rsidR="00760EA8" w:rsidRDefault="00760EA8" w:rsidP="00760EA8">
      <w:pPr>
        <w:pStyle w:val="Caption"/>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1121B4">
        <w:rPr>
          <w:rFonts w:asciiTheme="minorHAnsi" w:hAnsiTheme="minorHAnsi" w:cstheme="minorHAnsi"/>
          <w:noProof/>
          <w:szCs w:val="24"/>
        </w:rPr>
        <w:t>1</w:t>
      </w:r>
      <w:r w:rsidRPr="00C15715">
        <w:rPr>
          <w:rFonts w:asciiTheme="minorHAnsi" w:hAnsiTheme="minorHAnsi" w:cstheme="minorHAnsi"/>
          <w:szCs w:val="24"/>
        </w:rPr>
        <w:fldChar w:fldCharType="end"/>
      </w:r>
      <w:r w:rsidRPr="00C15715">
        <w:rPr>
          <w:rFonts w:asciiTheme="minorHAnsi" w:hAnsiTheme="minorHAnsi" w:cstheme="minorHAnsi"/>
        </w:rPr>
        <w:t>.tabula. Latvijas</w:t>
      </w:r>
      <w:r>
        <w:rPr>
          <w:rFonts w:asciiTheme="minorHAnsi" w:hAnsiTheme="minorHAnsi" w:cstheme="minorHAnsi"/>
        </w:rPr>
        <w:t xml:space="preserve"> IKP un pievienotās vērtības rādītāji</w:t>
      </w:r>
      <w:r w:rsidR="003845B4">
        <w:rPr>
          <w:rStyle w:val="FootnoteReference"/>
          <w:rFonts w:asciiTheme="minorHAnsi" w:hAnsiTheme="minorHAnsi" w:cstheme="minorHAnsi"/>
        </w:rPr>
        <w:footnoteReference w:id="1"/>
      </w:r>
    </w:p>
    <w:tbl>
      <w:tblPr>
        <w:tblStyle w:val="TableGrid"/>
        <w:tblW w:w="0" w:type="auto"/>
        <w:jc w:val="center"/>
        <w:tblLook w:val="04A0" w:firstRow="1" w:lastRow="0" w:firstColumn="1" w:lastColumn="0" w:noHBand="0" w:noVBand="1"/>
      </w:tblPr>
      <w:tblGrid>
        <w:gridCol w:w="4543"/>
        <w:gridCol w:w="2079"/>
        <w:gridCol w:w="2439"/>
      </w:tblGrid>
      <w:tr w:rsidR="00760EA8" w:rsidRPr="00760EA8" w14:paraId="1EAFDEDF" w14:textId="77777777" w:rsidTr="00153B24">
        <w:trPr>
          <w:jc w:val="center"/>
        </w:trPr>
        <w:tc>
          <w:tcPr>
            <w:tcW w:w="9296" w:type="dxa"/>
            <w:gridSpan w:val="3"/>
            <w:vAlign w:val="center"/>
          </w:tcPr>
          <w:p w14:paraId="690923D0" w14:textId="77777777" w:rsidR="00760EA8" w:rsidRPr="00760EA8" w:rsidRDefault="00760EA8" w:rsidP="00760EA8">
            <w:pPr>
              <w:jc w:val="center"/>
              <w:rPr>
                <w:rFonts w:cstheme="minorHAnsi"/>
                <w:b/>
                <w:bCs/>
                <w:szCs w:val="24"/>
              </w:rPr>
            </w:pPr>
            <w:r w:rsidRPr="00760EA8">
              <w:rPr>
                <w:rFonts w:cstheme="minorHAnsi"/>
                <w:b/>
                <w:bCs/>
                <w:szCs w:val="24"/>
              </w:rPr>
              <w:t>Iekšzemes kopprodukts faktiskajās un salīdzināmajās cenās</w:t>
            </w:r>
          </w:p>
        </w:tc>
      </w:tr>
      <w:tr w:rsidR="00760EA8" w:rsidRPr="00760EA8" w14:paraId="0958291D" w14:textId="77777777" w:rsidTr="00153B24">
        <w:trPr>
          <w:jc w:val="center"/>
        </w:trPr>
        <w:tc>
          <w:tcPr>
            <w:tcW w:w="4689" w:type="dxa"/>
            <w:vAlign w:val="center"/>
          </w:tcPr>
          <w:p w14:paraId="235EF9F8" w14:textId="77777777" w:rsidR="00760EA8" w:rsidRPr="00760EA8" w:rsidRDefault="00760EA8" w:rsidP="00861F83">
            <w:pPr>
              <w:rPr>
                <w:rFonts w:cstheme="minorHAnsi"/>
                <w:szCs w:val="24"/>
              </w:rPr>
            </w:pPr>
          </w:p>
        </w:tc>
        <w:tc>
          <w:tcPr>
            <w:tcW w:w="2126" w:type="dxa"/>
            <w:vAlign w:val="center"/>
          </w:tcPr>
          <w:p w14:paraId="0DA86767" w14:textId="4067D06F" w:rsidR="00760EA8" w:rsidRPr="00760EA8" w:rsidRDefault="00760EA8" w:rsidP="00760EA8">
            <w:pPr>
              <w:jc w:val="center"/>
              <w:rPr>
                <w:rFonts w:cstheme="minorHAnsi"/>
                <w:szCs w:val="24"/>
              </w:rPr>
            </w:pPr>
            <w:r w:rsidRPr="00760EA8">
              <w:rPr>
                <w:rFonts w:cstheme="minorHAnsi"/>
                <w:szCs w:val="24"/>
              </w:rPr>
              <w:t>2017</w:t>
            </w:r>
            <w:r w:rsidR="003845B4">
              <w:rPr>
                <w:rFonts w:cstheme="minorHAnsi"/>
                <w:szCs w:val="24"/>
              </w:rPr>
              <w:t>.g.</w:t>
            </w:r>
          </w:p>
        </w:tc>
        <w:tc>
          <w:tcPr>
            <w:tcW w:w="2481" w:type="dxa"/>
            <w:vAlign w:val="center"/>
          </w:tcPr>
          <w:p w14:paraId="109398C3" w14:textId="2C37C80B" w:rsidR="00760EA8" w:rsidRPr="00760EA8" w:rsidRDefault="00760EA8" w:rsidP="00760EA8">
            <w:pPr>
              <w:jc w:val="center"/>
              <w:rPr>
                <w:rFonts w:cstheme="minorHAnsi"/>
                <w:szCs w:val="24"/>
              </w:rPr>
            </w:pPr>
            <w:r w:rsidRPr="00760EA8">
              <w:rPr>
                <w:rFonts w:cstheme="minorHAnsi"/>
                <w:szCs w:val="24"/>
              </w:rPr>
              <w:t>2018</w:t>
            </w:r>
            <w:r w:rsidR="003845B4">
              <w:rPr>
                <w:rFonts w:cstheme="minorHAnsi"/>
                <w:szCs w:val="24"/>
              </w:rPr>
              <w:t>.g.</w:t>
            </w:r>
          </w:p>
        </w:tc>
      </w:tr>
      <w:tr w:rsidR="00760EA8" w:rsidRPr="00760EA8" w14:paraId="36CCB6A1" w14:textId="77777777" w:rsidTr="00153B24">
        <w:trPr>
          <w:jc w:val="center"/>
        </w:trPr>
        <w:tc>
          <w:tcPr>
            <w:tcW w:w="9296" w:type="dxa"/>
            <w:gridSpan w:val="3"/>
            <w:vAlign w:val="center"/>
          </w:tcPr>
          <w:p w14:paraId="2511CC06" w14:textId="2A636D7C" w:rsidR="00760EA8" w:rsidRPr="00760EA8" w:rsidRDefault="00760EA8" w:rsidP="00861F83">
            <w:pPr>
              <w:rPr>
                <w:rFonts w:cstheme="minorHAnsi"/>
                <w:szCs w:val="24"/>
              </w:rPr>
            </w:pPr>
            <w:r w:rsidRPr="00760EA8">
              <w:rPr>
                <w:rFonts w:cstheme="minorHAnsi"/>
                <w:szCs w:val="24"/>
              </w:rPr>
              <w:t>Iekšzemes kopprodukts – pavisam, milj. eiro</w:t>
            </w:r>
          </w:p>
        </w:tc>
      </w:tr>
      <w:tr w:rsidR="00760EA8" w:rsidRPr="00760EA8" w14:paraId="59B624A6" w14:textId="77777777" w:rsidTr="00153B24">
        <w:trPr>
          <w:jc w:val="center"/>
        </w:trPr>
        <w:tc>
          <w:tcPr>
            <w:tcW w:w="4689" w:type="dxa"/>
            <w:vAlign w:val="center"/>
          </w:tcPr>
          <w:p w14:paraId="66871E05" w14:textId="07C4044C" w:rsidR="00760EA8" w:rsidRPr="00760EA8" w:rsidRDefault="00760EA8" w:rsidP="00760EA8">
            <w:pPr>
              <w:rPr>
                <w:rFonts w:cstheme="minorHAnsi"/>
                <w:szCs w:val="24"/>
              </w:rPr>
            </w:pPr>
            <w:r w:rsidRPr="00760EA8">
              <w:rPr>
                <w:rFonts w:cstheme="minorHAnsi"/>
                <w:szCs w:val="24"/>
              </w:rPr>
              <w:t>faktiskajās cenās</w:t>
            </w:r>
          </w:p>
        </w:tc>
        <w:tc>
          <w:tcPr>
            <w:tcW w:w="2126" w:type="dxa"/>
            <w:vAlign w:val="center"/>
          </w:tcPr>
          <w:p w14:paraId="6897965B" w14:textId="1BEF67A5" w:rsidR="00760EA8" w:rsidRPr="00760EA8" w:rsidRDefault="00760EA8" w:rsidP="00760EA8">
            <w:pPr>
              <w:jc w:val="center"/>
              <w:rPr>
                <w:rFonts w:cstheme="minorHAnsi"/>
                <w:szCs w:val="24"/>
              </w:rPr>
            </w:pPr>
            <w:r w:rsidRPr="00760EA8">
              <w:rPr>
                <w:rFonts w:cstheme="minorHAnsi"/>
                <w:szCs w:val="24"/>
              </w:rPr>
              <w:t>27 033</w:t>
            </w:r>
          </w:p>
        </w:tc>
        <w:tc>
          <w:tcPr>
            <w:tcW w:w="2481" w:type="dxa"/>
            <w:vAlign w:val="center"/>
          </w:tcPr>
          <w:p w14:paraId="1A701A85" w14:textId="0FF42F5F" w:rsidR="00760EA8" w:rsidRPr="00760EA8" w:rsidRDefault="00760EA8" w:rsidP="00760EA8">
            <w:pPr>
              <w:jc w:val="center"/>
              <w:rPr>
                <w:rFonts w:cstheme="minorHAnsi"/>
                <w:szCs w:val="24"/>
              </w:rPr>
            </w:pPr>
            <w:r w:rsidRPr="00760EA8">
              <w:rPr>
                <w:rFonts w:cstheme="minorHAnsi"/>
                <w:szCs w:val="24"/>
              </w:rPr>
              <w:t>29 524</w:t>
            </w:r>
          </w:p>
        </w:tc>
      </w:tr>
      <w:tr w:rsidR="00760EA8" w:rsidRPr="00760EA8" w14:paraId="5A2E6E73" w14:textId="77777777" w:rsidTr="00153B24">
        <w:trPr>
          <w:jc w:val="center"/>
        </w:trPr>
        <w:tc>
          <w:tcPr>
            <w:tcW w:w="4689" w:type="dxa"/>
            <w:vAlign w:val="center"/>
          </w:tcPr>
          <w:p w14:paraId="3BA8E752" w14:textId="1EF0ADCD" w:rsidR="00760EA8" w:rsidRPr="00760EA8" w:rsidRDefault="00760EA8" w:rsidP="00760EA8">
            <w:pPr>
              <w:rPr>
                <w:rFonts w:cstheme="minorHAnsi"/>
                <w:szCs w:val="24"/>
              </w:rPr>
            </w:pPr>
            <w:r w:rsidRPr="00760EA8">
              <w:rPr>
                <w:rFonts w:cstheme="minorHAnsi"/>
                <w:szCs w:val="24"/>
              </w:rPr>
              <w:t>2010. gada salīdzināmajās cenās</w:t>
            </w:r>
          </w:p>
        </w:tc>
        <w:tc>
          <w:tcPr>
            <w:tcW w:w="2126" w:type="dxa"/>
            <w:vAlign w:val="center"/>
          </w:tcPr>
          <w:p w14:paraId="59BF07A9" w14:textId="4A67ECCC" w:rsidR="00760EA8" w:rsidRPr="00760EA8" w:rsidRDefault="00760EA8" w:rsidP="00760EA8">
            <w:pPr>
              <w:jc w:val="center"/>
              <w:rPr>
                <w:rFonts w:cstheme="minorHAnsi"/>
                <w:szCs w:val="24"/>
              </w:rPr>
            </w:pPr>
            <w:r w:rsidRPr="00760EA8">
              <w:rPr>
                <w:rFonts w:cstheme="minorHAnsi"/>
                <w:szCs w:val="24"/>
              </w:rPr>
              <w:t>22 778</w:t>
            </w:r>
          </w:p>
        </w:tc>
        <w:tc>
          <w:tcPr>
            <w:tcW w:w="2481" w:type="dxa"/>
            <w:vAlign w:val="center"/>
          </w:tcPr>
          <w:p w14:paraId="1095B431" w14:textId="5AD441DB" w:rsidR="00760EA8" w:rsidRPr="00760EA8" w:rsidRDefault="00760EA8" w:rsidP="00760EA8">
            <w:pPr>
              <w:jc w:val="center"/>
              <w:rPr>
                <w:rFonts w:cstheme="minorHAnsi"/>
                <w:szCs w:val="24"/>
              </w:rPr>
            </w:pPr>
            <w:r w:rsidRPr="00760EA8">
              <w:rPr>
                <w:rFonts w:cstheme="minorHAnsi"/>
                <w:szCs w:val="24"/>
              </w:rPr>
              <w:t>23 864</w:t>
            </w:r>
          </w:p>
        </w:tc>
      </w:tr>
      <w:tr w:rsidR="00760EA8" w:rsidRPr="00760EA8" w14:paraId="5A79779A" w14:textId="77777777" w:rsidTr="00153B24">
        <w:trPr>
          <w:jc w:val="center"/>
        </w:trPr>
        <w:tc>
          <w:tcPr>
            <w:tcW w:w="9296" w:type="dxa"/>
            <w:gridSpan w:val="3"/>
            <w:vAlign w:val="center"/>
          </w:tcPr>
          <w:p w14:paraId="47426DC2" w14:textId="22AAC245" w:rsidR="00760EA8" w:rsidRPr="00760EA8" w:rsidRDefault="00760EA8" w:rsidP="00760EA8">
            <w:pPr>
              <w:rPr>
                <w:rFonts w:cstheme="minorHAnsi"/>
                <w:szCs w:val="24"/>
              </w:rPr>
            </w:pPr>
            <w:r w:rsidRPr="00760EA8">
              <w:rPr>
                <w:rFonts w:cstheme="minorHAnsi"/>
                <w:szCs w:val="24"/>
              </w:rPr>
              <w:t xml:space="preserve">Uz vienu iedzīvotāju, </w:t>
            </w:r>
            <w:proofErr w:type="spellStart"/>
            <w:r w:rsidRPr="00760EA8">
              <w:rPr>
                <w:rFonts w:cstheme="minorHAnsi"/>
                <w:szCs w:val="24"/>
              </w:rPr>
              <w:t>euro</w:t>
            </w:r>
            <w:proofErr w:type="spellEnd"/>
          </w:p>
        </w:tc>
      </w:tr>
      <w:tr w:rsidR="00760EA8" w:rsidRPr="00760EA8" w14:paraId="0FD3D3C5" w14:textId="77777777" w:rsidTr="00153B24">
        <w:trPr>
          <w:jc w:val="center"/>
        </w:trPr>
        <w:tc>
          <w:tcPr>
            <w:tcW w:w="4689" w:type="dxa"/>
            <w:vAlign w:val="center"/>
          </w:tcPr>
          <w:p w14:paraId="00EE3DC5" w14:textId="07F8ACD7" w:rsidR="00760EA8" w:rsidRPr="00760EA8" w:rsidRDefault="00760EA8" w:rsidP="00760EA8">
            <w:pPr>
              <w:rPr>
                <w:rFonts w:cstheme="minorHAnsi"/>
                <w:szCs w:val="24"/>
              </w:rPr>
            </w:pPr>
            <w:r w:rsidRPr="00760EA8">
              <w:rPr>
                <w:rFonts w:cstheme="minorHAnsi"/>
                <w:szCs w:val="24"/>
              </w:rPr>
              <w:t>faktiskajās cenās</w:t>
            </w:r>
          </w:p>
        </w:tc>
        <w:tc>
          <w:tcPr>
            <w:tcW w:w="2126" w:type="dxa"/>
            <w:vAlign w:val="center"/>
          </w:tcPr>
          <w:p w14:paraId="4EC4547B" w14:textId="196B6E03" w:rsidR="00760EA8" w:rsidRPr="00760EA8" w:rsidRDefault="00760EA8" w:rsidP="00760EA8">
            <w:pPr>
              <w:jc w:val="center"/>
              <w:rPr>
                <w:rFonts w:cstheme="minorHAnsi"/>
                <w:szCs w:val="24"/>
              </w:rPr>
            </w:pPr>
            <w:r w:rsidRPr="00760EA8">
              <w:rPr>
                <w:rFonts w:cstheme="minorHAnsi"/>
                <w:szCs w:val="24"/>
              </w:rPr>
              <w:t>13 926</w:t>
            </w:r>
          </w:p>
        </w:tc>
        <w:tc>
          <w:tcPr>
            <w:tcW w:w="2481" w:type="dxa"/>
            <w:vAlign w:val="center"/>
          </w:tcPr>
          <w:p w14:paraId="5CE9C913" w14:textId="7D9E9752" w:rsidR="00760EA8" w:rsidRPr="00760EA8" w:rsidRDefault="00760EA8" w:rsidP="00760EA8">
            <w:pPr>
              <w:jc w:val="center"/>
              <w:rPr>
                <w:rFonts w:cstheme="minorHAnsi"/>
                <w:szCs w:val="24"/>
              </w:rPr>
            </w:pPr>
            <w:r w:rsidRPr="00760EA8">
              <w:rPr>
                <w:rFonts w:cstheme="minorHAnsi"/>
                <w:szCs w:val="24"/>
              </w:rPr>
              <w:t>15 328</w:t>
            </w:r>
          </w:p>
        </w:tc>
      </w:tr>
      <w:tr w:rsidR="00760EA8" w:rsidRPr="00760EA8" w14:paraId="10D566F9" w14:textId="77777777" w:rsidTr="00153B24">
        <w:trPr>
          <w:jc w:val="center"/>
        </w:trPr>
        <w:tc>
          <w:tcPr>
            <w:tcW w:w="4689" w:type="dxa"/>
            <w:vAlign w:val="center"/>
          </w:tcPr>
          <w:p w14:paraId="4C6FD554" w14:textId="20AA9C5F" w:rsidR="00760EA8" w:rsidRPr="00760EA8" w:rsidRDefault="00760EA8" w:rsidP="00760EA8">
            <w:pPr>
              <w:rPr>
                <w:rFonts w:cstheme="minorHAnsi"/>
                <w:szCs w:val="24"/>
              </w:rPr>
            </w:pPr>
            <w:r w:rsidRPr="00760EA8">
              <w:rPr>
                <w:rFonts w:cstheme="minorHAnsi"/>
                <w:szCs w:val="24"/>
              </w:rPr>
              <w:t>2010. gada salīdzināmajās cenās</w:t>
            </w:r>
          </w:p>
        </w:tc>
        <w:tc>
          <w:tcPr>
            <w:tcW w:w="2126" w:type="dxa"/>
            <w:vAlign w:val="center"/>
          </w:tcPr>
          <w:p w14:paraId="7957CA29" w14:textId="4B56A266" w:rsidR="00760EA8" w:rsidRPr="00760EA8" w:rsidRDefault="00760EA8" w:rsidP="00760EA8">
            <w:pPr>
              <w:jc w:val="center"/>
              <w:rPr>
                <w:rFonts w:cstheme="minorHAnsi"/>
                <w:szCs w:val="24"/>
              </w:rPr>
            </w:pPr>
            <w:r w:rsidRPr="00760EA8">
              <w:rPr>
                <w:rFonts w:cstheme="minorHAnsi"/>
                <w:szCs w:val="24"/>
              </w:rPr>
              <w:t>11 734</w:t>
            </w:r>
          </w:p>
        </w:tc>
        <w:tc>
          <w:tcPr>
            <w:tcW w:w="2481" w:type="dxa"/>
            <w:vAlign w:val="center"/>
          </w:tcPr>
          <w:p w14:paraId="37F36E26" w14:textId="570FFE91" w:rsidR="00760EA8" w:rsidRPr="00760EA8" w:rsidRDefault="00760EA8" w:rsidP="00760EA8">
            <w:pPr>
              <w:jc w:val="center"/>
              <w:rPr>
                <w:rFonts w:cstheme="minorHAnsi"/>
                <w:szCs w:val="24"/>
              </w:rPr>
            </w:pPr>
            <w:r w:rsidRPr="00760EA8">
              <w:rPr>
                <w:rFonts w:cstheme="minorHAnsi"/>
                <w:szCs w:val="24"/>
              </w:rPr>
              <w:t>12 389</w:t>
            </w:r>
          </w:p>
        </w:tc>
      </w:tr>
      <w:tr w:rsidR="00760EA8" w:rsidRPr="00760EA8" w14:paraId="49E79492" w14:textId="77777777" w:rsidTr="00153B24">
        <w:trPr>
          <w:jc w:val="center"/>
        </w:trPr>
        <w:tc>
          <w:tcPr>
            <w:tcW w:w="9296" w:type="dxa"/>
            <w:gridSpan w:val="3"/>
            <w:vAlign w:val="center"/>
          </w:tcPr>
          <w:p w14:paraId="76A242BF" w14:textId="112CDDCF" w:rsidR="00760EA8" w:rsidRPr="00760EA8" w:rsidRDefault="00760EA8" w:rsidP="00760EA8">
            <w:pPr>
              <w:jc w:val="center"/>
              <w:rPr>
                <w:rFonts w:cstheme="minorHAnsi"/>
                <w:b/>
                <w:bCs/>
                <w:szCs w:val="24"/>
              </w:rPr>
            </w:pPr>
            <w:r w:rsidRPr="00760EA8">
              <w:rPr>
                <w:rFonts w:cstheme="minorHAnsi"/>
                <w:b/>
                <w:bCs/>
                <w:szCs w:val="24"/>
              </w:rPr>
              <w:t>Pievienotās vērtības struktūra un pārmaiņas pa darbības veidiem 2018.g. (%)</w:t>
            </w:r>
          </w:p>
        </w:tc>
      </w:tr>
      <w:tr w:rsidR="00760EA8" w:rsidRPr="00760EA8" w14:paraId="2C29237C" w14:textId="77777777" w:rsidTr="00153B24">
        <w:trPr>
          <w:jc w:val="center"/>
        </w:trPr>
        <w:tc>
          <w:tcPr>
            <w:tcW w:w="4689" w:type="dxa"/>
            <w:vAlign w:val="center"/>
          </w:tcPr>
          <w:p w14:paraId="33FD8D87" w14:textId="77777777" w:rsidR="00760EA8" w:rsidRPr="00760EA8" w:rsidRDefault="00760EA8" w:rsidP="00760EA8">
            <w:pPr>
              <w:rPr>
                <w:rFonts w:cstheme="minorHAnsi"/>
                <w:szCs w:val="24"/>
              </w:rPr>
            </w:pPr>
          </w:p>
        </w:tc>
        <w:tc>
          <w:tcPr>
            <w:tcW w:w="2126" w:type="dxa"/>
            <w:vAlign w:val="center"/>
          </w:tcPr>
          <w:p w14:paraId="6AE451C3" w14:textId="77777777" w:rsidR="00760EA8" w:rsidRPr="00760EA8" w:rsidRDefault="00760EA8" w:rsidP="00760EA8">
            <w:pPr>
              <w:jc w:val="center"/>
              <w:rPr>
                <w:rFonts w:cstheme="minorHAnsi"/>
                <w:szCs w:val="24"/>
              </w:rPr>
            </w:pPr>
            <w:r w:rsidRPr="00760EA8">
              <w:rPr>
                <w:rFonts w:cstheme="minorHAnsi"/>
                <w:szCs w:val="24"/>
              </w:rPr>
              <w:t>2018.g.</w:t>
            </w:r>
          </w:p>
          <w:p w14:paraId="212B3D53" w14:textId="5578B610" w:rsidR="00760EA8" w:rsidRPr="00760EA8" w:rsidRDefault="00760EA8" w:rsidP="00760EA8">
            <w:pPr>
              <w:jc w:val="center"/>
              <w:rPr>
                <w:rFonts w:cstheme="minorHAnsi"/>
                <w:szCs w:val="24"/>
              </w:rPr>
            </w:pPr>
            <w:r w:rsidRPr="00760EA8">
              <w:rPr>
                <w:rFonts w:cstheme="minorHAnsi"/>
                <w:szCs w:val="24"/>
              </w:rPr>
              <w:t>(faktiskajās cenās)</w:t>
            </w:r>
          </w:p>
        </w:tc>
        <w:tc>
          <w:tcPr>
            <w:tcW w:w="2481" w:type="dxa"/>
            <w:vAlign w:val="center"/>
          </w:tcPr>
          <w:p w14:paraId="2785782D" w14:textId="77777777" w:rsidR="00760EA8" w:rsidRPr="00760EA8" w:rsidRDefault="00760EA8" w:rsidP="00760EA8">
            <w:pPr>
              <w:jc w:val="center"/>
              <w:rPr>
                <w:rFonts w:cstheme="minorHAnsi"/>
                <w:szCs w:val="24"/>
              </w:rPr>
            </w:pPr>
            <w:r w:rsidRPr="00760EA8">
              <w:rPr>
                <w:rFonts w:cstheme="minorHAnsi"/>
                <w:szCs w:val="24"/>
              </w:rPr>
              <w:t>2017.g./2018.g.</w:t>
            </w:r>
          </w:p>
          <w:p w14:paraId="12DC655C" w14:textId="275FAF0E" w:rsidR="00760EA8" w:rsidRPr="00760EA8" w:rsidRDefault="00760EA8" w:rsidP="00760EA8">
            <w:pPr>
              <w:jc w:val="center"/>
              <w:rPr>
                <w:rFonts w:cstheme="minorHAnsi"/>
                <w:szCs w:val="24"/>
              </w:rPr>
            </w:pPr>
            <w:r w:rsidRPr="00760EA8">
              <w:rPr>
                <w:rFonts w:cstheme="minorHAnsi"/>
                <w:szCs w:val="24"/>
              </w:rPr>
              <w:t>(salīdzināmajās cenās)</w:t>
            </w:r>
          </w:p>
        </w:tc>
      </w:tr>
      <w:tr w:rsidR="00760EA8" w:rsidRPr="00760EA8" w14:paraId="37BB1DF2" w14:textId="77777777" w:rsidTr="00153B24">
        <w:trPr>
          <w:jc w:val="center"/>
        </w:trPr>
        <w:tc>
          <w:tcPr>
            <w:tcW w:w="4689" w:type="dxa"/>
            <w:vAlign w:val="center"/>
          </w:tcPr>
          <w:p w14:paraId="0F7C1641" w14:textId="74B33CD1" w:rsidR="00760EA8" w:rsidRPr="00760EA8" w:rsidRDefault="00760EA8" w:rsidP="00760EA8">
            <w:pPr>
              <w:rPr>
                <w:rFonts w:cstheme="minorHAnsi"/>
                <w:szCs w:val="24"/>
              </w:rPr>
            </w:pPr>
            <w:r w:rsidRPr="00760EA8">
              <w:rPr>
                <w:rFonts w:cstheme="minorHAnsi"/>
                <w:szCs w:val="24"/>
              </w:rPr>
              <w:t>Kopējā pievienotā vērtība</w:t>
            </w:r>
          </w:p>
        </w:tc>
        <w:tc>
          <w:tcPr>
            <w:tcW w:w="2126" w:type="dxa"/>
            <w:vAlign w:val="center"/>
          </w:tcPr>
          <w:p w14:paraId="266E8711" w14:textId="13774D19" w:rsidR="00760EA8" w:rsidRPr="00760EA8" w:rsidRDefault="00760EA8" w:rsidP="00760EA8">
            <w:pPr>
              <w:jc w:val="center"/>
              <w:rPr>
                <w:rFonts w:cstheme="minorHAnsi"/>
                <w:szCs w:val="24"/>
              </w:rPr>
            </w:pPr>
            <w:r w:rsidRPr="00760EA8">
              <w:rPr>
                <w:rFonts w:cstheme="minorHAnsi"/>
                <w:szCs w:val="24"/>
              </w:rPr>
              <w:t>100</w:t>
            </w:r>
          </w:p>
        </w:tc>
        <w:tc>
          <w:tcPr>
            <w:tcW w:w="2481" w:type="dxa"/>
            <w:vAlign w:val="center"/>
          </w:tcPr>
          <w:p w14:paraId="79406DA4" w14:textId="753517CC" w:rsidR="00760EA8" w:rsidRPr="00760EA8" w:rsidRDefault="00760EA8" w:rsidP="00760EA8">
            <w:pPr>
              <w:jc w:val="center"/>
              <w:rPr>
                <w:rFonts w:cstheme="minorHAnsi"/>
                <w:szCs w:val="24"/>
              </w:rPr>
            </w:pPr>
            <w:r w:rsidRPr="00760EA8">
              <w:rPr>
                <w:rFonts w:cstheme="minorHAnsi"/>
                <w:szCs w:val="24"/>
              </w:rPr>
              <w:t>4,2</w:t>
            </w:r>
          </w:p>
        </w:tc>
      </w:tr>
      <w:tr w:rsidR="00760EA8" w:rsidRPr="00760EA8" w14:paraId="08119332" w14:textId="77777777" w:rsidTr="00153B24">
        <w:trPr>
          <w:jc w:val="center"/>
        </w:trPr>
        <w:tc>
          <w:tcPr>
            <w:tcW w:w="4689" w:type="dxa"/>
            <w:vAlign w:val="center"/>
          </w:tcPr>
          <w:p w14:paraId="0F0E1320" w14:textId="0C3ECA57" w:rsidR="00760EA8" w:rsidRPr="00760EA8" w:rsidRDefault="00760EA8" w:rsidP="00760EA8">
            <w:pPr>
              <w:rPr>
                <w:rFonts w:cstheme="minorHAnsi"/>
                <w:szCs w:val="24"/>
              </w:rPr>
            </w:pPr>
            <w:r w:rsidRPr="00760EA8">
              <w:rPr>
                <w:rFonts w:cstheme="minorHAnsi"/>
                <w:szCs w:val="24"/>
              </w:rPr>
              <w:t>Lauksaimniecība, mežsaimniecība un zivsaimniecība</w:t>
            </w:r>
          </w:p>
        </w:tc>
        <w:tc>
          <w:tcPr>
            <w:tcW w:w="2126" w:type="dxa"/>
            <w:vAlign w:val="center"/>
          </w:tcPr>
          <w:p w14:paraId="2A00620E" w14:textId="0665EEE5" w:rsidR="00760EA8" w:rsidRPr="00760EA8" w:rsidRDefault="00760EA8" w:rsidP="00760EA8">
            <w:pPr>
              <w:jc w:val="center"/>
              <w:rPr>
                <w:rFonts w:cstheme="minorHAnsi"/>
                <w:szCs w:val="24"/>
              </w:rPr>
            </w:pPr>
            <w:r w:rsidRPr="00760EA8">
              <w:rPr>
                <w:rFonts w:cstheme="minorHAnsi"/>
                <w:szCs w:val="24"/>
              </w:rPr>
              <w:t>3,7</w:t>
            </w:r>
          </w:p>
        </w:tc>
        <w:tc>
          <w:tcPr>
            <w:tcW w:w="2481" w:type="dxa"/>
            <w:vAlign w:val="center"/>
          </w:tcPr>
          <w:p w14:paraId="6BBE8C19" w14:textId="07972ED1" w:rsidR="00760EA8" w:rsidRPr="00760EA8" w:rsidRDefault="00760EA8" w:rsidP="00760EA8">
            <w:pPr>
              <w:jc w:val="center"/>
              <w:rPr>
                <w:rFonts w:cstheme="minorHAnsi"/>
                <w:szCs w:val="24"/>
              </w:rPr>
            </w:pPr>
            <w:r w:rsidRPr="00760EA8">
              <w:rPr>
                <w:rFonts w:cstheme="minorHAnsi"/>
                <w:szCs w:val="24"/>
              </w:rPr>
              <w:t>3,4</w:t>
            </w:r>
          </w:p>
        </w:tc>
      </w:tr>
      <w:tr w:rsidR="00760EA8" w:rsidRPr="00760EA8" w14:paraId="1B918E0F" w14:textId="77777777" w:rsidTr="00153B24">
        <w:trPr>
          <w:jc w:val="center"/>
        </w:trPr>
        <w:tc>
          <w:tcPr>
            <w:tcW w:w="4689" w:type="dxa"/>
            <w:vAlign w:val="center"/>
          </w:tcPr>
          <w:p w14:paraId="693FE8B8" w14:textId="71286843" w:rsidR="00760EA8" w:rsidRPr="00760EA8" w:rsidRDefault="00760EA8" w:rsidP="00760EA8">
            <w:pPr>
              <w:rPr>
                <w:rFonts w:cstheme="minorHAnsi"/>
                <w:szCs w:val="24"/>
              </w:rPr>
            </w:pPr>
            <w:r w:rsidRPr="00760EA8">
              <w:rPr>
                <w:rFonts w:cstheme="minorHAnsi"/>
                <w:szCs w:val="24"/>
              </w:rPr>
              <w:t>Ieguves rūpniecība un karjeru izstrāde; apstrādes rūpniecība; elektroenerģija, gāzes apgāde, siltumapgāde un gaisa kondicionēšana; ūdens apgāde, notekūdeņu, atkritumu apsaimniekošana un sanācija</w:t>
            </w:r>
          </w:p>
        </w:tc>
        <w:tc>
          <w:tcPr>
            <w:tcW w:w="2126" w:type="dxa"/>
            <w:vAlign w:val="center"/>
          </w:tcPr>
          <w:p w14:paraId="53CFD0EE" w14:textId="64771679" w:rsidR="00760EA8" w:rsidRPr="00760EA8" w:rsidRDefault="00760EA8" w:rsidP="00760EA8">
            <w:pPr>
              <w:jc w:val="center"/>
              <w:rPr>
                <w:rFonts w:cstheme="minorHAnsi"/>
                <w:szCs w:val="24"/>
              </w:rPr>
            </w:pPr>
            <w:r w:rsidRPr="00760EA8">
              <w:rPr>
                <w:rFonts w:cstheme="minorHAnsi"/>
                <w:szCs w:val="24"/>
              </w:rPr>
              <w:t>16,1</w:t>
            </w:r>
          </w:p>
        </w:tc>
        <w:tc>
          <w:tcPr>
            <w:tcW w:w="2481" w:type="dxa"/>
            <w:vAlign w:val="center"/>
          </w:tcPr>
          <w:p w14:paraId="668F1E7D" w14:textId="22A8E713" w:rsidR="00760EA8" w:rsidRPr="00760EA8" w:rsidRDefault="00760EA8" w:rsidP="00760EA8">
            <w:pPr>
              <w:jc w:val="center"/>
              <w:rPr>
                <w:rFonts w:cstheme="minorHAnsi"/>
                <w:szCs w:val="24"/>
              </w:rPr>
            </w:pPr>
            <w:r w:rsidRPr="00760EA8">
              <w:rPr>
                <w:rFonts w:cstheme="minorHAnsi"/>
                <w:szCs w:val="24"/>
              </w:rPr>
              <w:t>1,7</w:t>
            </w:r>
          </w:p>
        </w:tc>
      </w:tr>
      <w:tr w:rsidR="00760EA8" w:rsidRPr="00760EA8" w14:paraId="7A46955A" w14:textId="77777777" w:rsidTr="00153B24">
        <w:trPr>
          <w:jc w:val="center"/>
        </w:trPr>
        <w:tc>
          <w:tcPr>
            <w:tcW w:w="4689" w:type="dxa"/>
            <w:vAlign w:val="center"/>
          </w:tcPr>
          <w:p w14:paraId="3263D791" w14:textId="038DC7CC" w:rsidR="00760EA8" w:rsidRPr="00760EA8" w:rsidRDefault="00760EA8" w:rsidP="00760EA8">
            <w:pPr>
              <w:rPr>
                <w:rFonts w:cstheme="minorHAnsi"/>
                <w:szCs w:val="24"/>
              </w:rPr>
            </w:pPr>
            <w:r w:rsidRPr="00760EA8">
              <w:rPr>
                <w:rFonts w:cstheme="minorHAnsi"/>
                <w:szCs w:val="24"/>
              </w:rPr>
              <w:t>Būvniecība</w:t>
            </w:r>
          </w:p>
        </w:tc>
        <w:tc>
          <w:tcPr>
            <w:tcW w:w="2126" w:type="dxa"/>
            <w:vAlign w:val="center"/>
          </w:tcPr>
          <w:p w14:paraId="3B51A8C6" w14:textId="1BF94913" w:rsidR="00760EA8" w:rsidRPr="00760EA8" w:rsidRDefault="00760EA8" w:rsidP="00760EA8">
            <w:pPr>
              <w:jc w:val="center"/>
              <w:rPr>
                <w:rFonts w:cstheme="minorHAnsi"/>
                <w:szCs w:val="24"/>
              </w:rPr>
            </w:pPr>
            <w:r w:rsidRPr="00760EA8">
              <w:rPr>
                <w:rFonts w:cstheme="minorHAnsi"/>
                <w:szCs w:val="24"/>
              </w:rPr>
              <w:t>7,1</w:t>
            </w:r>
          </w:p>
        </w:tc>
        <w:tc>
          <w:tcPr>
            <w:tcW w:w="2481" w:type="dxa"/>
            <w:vAlign w:val="center"/>
          </w:tcPr>
          <w:p w14:paraId="46C47844" w14:textId="587B0531" w:rsidR="00760EA8" w:rsidRPr="00760EA8" w:rsidRDefault="00760EA8" w:rsidP="00760EA8">
            <w:pPr>
              <w:jc w:val="center"/>
              <w:rPr>
                <w:rFonts w:cstheme="minorHAnsi"/>
                <w:szCs w:val="24"/>
              </w:rPr>
            </w:pPr>
            <w:r w:rsidRPr="00760EA8">
              <w:rPr>
                <w:rFonts w:cstheme="minorHAnsi"/>
                <w:szCs w:val="24"/>
              </w:rPr>
              <w:t>21,9</w:t>
            </w:r>
          </w:p>
        </w:tc>
      </w:tr>
      <w:tr w:rsidR="00760EA8" w:rsidRPr="00760EA8" w14:paraId="4E925990" w14:textId="77777777" w:rsidTr="00153B24">
        <w:trPr>
          <w:jc w:val="center"/>
        </w:trPr>
        <w:tc>
          <w:tcPr>
            <w:tcW w:w="4689" w:type="dxa"/>
            <w:vAlign w:val="center"/>
          </w:tcPr>
          <w:p w14:paraId="0494795F" w14:textId="1A05EAC9" w:rsidR="00760EA8" w:rsidRPr="00760EA8" w:rsidRDefault="00760EA8" w:rsidP="00760EA8">
            <w:pPr>
              <w:rPr>
                <w:rFonts w:cstheme="minorHAnsi"/>
                <w:szCs w:val="24"/>
              </w:rPr>
            </w:pPr>
            <w:r w:rsidRPr="00760EA8">
              <w:rPr>
                <w:rFonts w:cstheme="minorHAnsi"/>
                <w:szCs w:val="24"/>
              </w:rPr>
              <w:t>Vairumtirdzniecība un mazumtirdzniecība, automobiļu un motociklu remonts; transports un uzglabāšana; izmitināšana un ēdināšanas pakalpojumi</w:t>
            </w:r>
          </w:p>
        </w:tc>
        <w:tc>
          <w:tcPr>
            <w:tcW w:w="2126" w:type="dxa"/>
            <w:vAlign w:val="center"/>
          </w:tcPr>
          <w:p w14:paraId="4F00DD6B" w14:textId="060365EE" w:rsidR="00760EA8" w:rsidRPr="00760EA8" w:rsidRDefault="00760EA8" w:rsidP="00760EA8">
            <w:pPr>
              <w:jc w:val="center"/>
              <w:rPr>
                <w:rFonts w:cstheme="minorHAnsi"/>
                <w:szCs w:val="24"/>
              </w:rPr>
            </w:pPr>
            <w:r w:rsidRPr="00760EA8">
              <w:rPr>
                <w:rFonts w:cstheme="minorHAnsi"/>
                <w:szCs w:val="24"/>
              </w:rPr>
              <w:t>25,4</w:t>
            </w:r>
          </w:p>
        </w:tc>
        <w:tc>
          <w:tcPr>
            <w:tcW w:w="2481" w:type="dxa"/>
            <w:vAlign w:val="center"/>
          </w:tcPr>
          <w:p w14:paraId="6F3B3CA4" w14:textId="43B8D58C" w:rsidR="00760EA8" w:rsidRPr="00760EA8" w:rsidRDefault="00760EA8" w:rsidP="00760EA8">
            <w:pPr>
              <w:jc w:val="center"/>
              <w:rPr>
                <w:rFonts w:cstheme="minorHAnsi"/>
                <w:szCs w:val="24"/>
              </w:rPr>
            </w:pPr>
            <w:r w:rsidRPr="00760EA8">
              <w:rPr>
                <w:rFonts w:cstheme="minorHAnsi"/>
                <w:szCs w:val="24"/>
              </w:rPr>
              <w:t>3,5</w:t>
            </w:r>
          </w:p>
        </w:tc>
      </w:tr>
      <w:tr w:rsidR="00760EA8" w:rsidRPr="00760EA8" w14:paraId="0D6BB033" w14:textId="77777777" w:rsidTr="00153B24">
        <w:trPr>
          <w:jc w:val="center"/>
        </w:trPr>
        <w:tc>
          <w:tcPr>
            <w:tcW w:w="4689" w:type="dxa"/>
            <w:vAlign w:val="center"/>
          </w:tcPr>
          <w:p w14:paraId="2138255B" w14:textId="4652A0AE" w:rsidR="00760EA8" w:rsidRPr="00760EA8" w:rsidRDefault="00760EA8" w:rsidP="00760EA8">
            <w:pPr>
              <w:rPr>
                <w:rFonts w:cstheme="minorHAnsi"/>
                <w:szCs w:val="24"/>
              </w:rPr>
            </w:pPr>
            <w:r w:rsidRPr="00760EA8">
              <w:rPr>
                <w:rFonts w:cstheme="minorHAnsi"/>
                <w:szCs w:val="24"/>
              </w:rPr>
              <w:t>Informācijas un komunikācijas pakalpojumi</w:t>
            </w:r>
          </w:p>
        </w:tc>
        <w:tc>
          <w:tcPr>
            <w:tcW w:w="2126" w:type="dxa"/>
            <w:vAlign w:val="center"/>
          </w:tcPr>
          <w:p w14:paraId="01FDCFEE" w14:textId="3D00978D" w:rsidR="00760EA8" w:rsidRPr="00760EA8" w:rsidRDefault="00760EA8" w:rsidP="00760EA8">
            <w:pPr>
              <w:jc w:val="center"/>
              <w:rPr>
                <w:rFonts w:cstheme="minorHAnsi"/>
                <w:szCs w:val="24"/>
              </w:rPr>
            </w:pPr>
            <w:r w:rsidRPr="00760EA8">
              <w:rPr>
                <w:rFonts w:cstheme="minorHAnsi"/>
                <w:szCs w:val="24"/>
              </w:rPr>
              <w:t>5,5</w:t>
            </w:r>
          </w:p>
        </w:tc>
        <w:tc>
          <w:tcPr>
            <w:tcW w:w="2481" w:type="dxa"/>
            <w:vAlign w:val="center"/>
          </w:tcPr>
          <w:p w14:paraId="011E95F6" w14:textId="44DBED58" w:rsidR="00760EA8" w:rsidRPr="00760EA8" w:rsidRDefault="00760EA8" w:rsidP="00760EA8">
            <w:pPr>
              <w:jc w:val="center"/>
              <w:rPr>
                <w:rFonts w:cstheme="minorHAnsi"/>
                <w:szCs w:val="24"/>
              </w:rPr>
            </w:pPr>
            <w:r w:rsidRPr="00760EA8">
              <w:rPr>
                <w:rFonts w:cstheme="minorHAnsi"/>
                <w:szCs w:val="24"/>
              </w:rPr>
              <w:t>13,0</w:t>
            </w:r>
          </w:p>
        </w:tc>
      </w:tr>
      <w:tr w:rsidR="00760EA8" w:rsidRPr="00760EA8" w14:paraId="5F5D2F1C" w14:textId="77777777" w:rsidTr="00153B24">
        <w:trPr>
          <w:jc w:val="center"/>
        </w:trPr>
        <w:tc>
          <w:tcPr>
            <w:tcW w:w="4689" w:type="dxa"/>
            <w:vAlign w:val="center"/>
          </w:tcPr>
          <w:p w14:paraId="32F7EF88" w14:textId="207201E0" w:rsidR="00760EA8" w:rsidRPr="00760EA8" w:rsidRDefault="00760EA8" w:rsidP="00760EA8">
            <w:pPr>
              <w:rPr>
                <w:rFonts w:cstheme="minorHAnsi"/>
                <w:szCs w:val="24"/>
              </w:rPr>
            </w:pPr>
            <w:r w:rsidRPr="00760EA8">
              <w:rPr>
                <w:rFonts w:cstheme="minorHAnsi"/>
                <w:szCs w:val="24"/>
              </w:rPr>
              <w:lastRenderedPageBreak/>
              <w:t>Finanšu un apdrošināšanas darbības</w:t>
            </w:r>
          </w:p>
        </w:tc>
        <w:tc>
          <w:tcPr>
            <w:tcW w:w="2126" w:type="dxa"/>
            <w:vAlign w:val="center"/>
          </w:tcPr>
          <w:p w14:paraId="6CACFB36" w14:textId="4A98BC7D" w:rsidR="00760EA8" w:rsidRPr="00760EA8" w:rsidRDefault="00760EA8" w:rsidP="00760EA8">
            <w:pPr>
              <w:jc w:val="center"/>
              <w:rPr>
                <w:rFonts w:cstheme="minorHAnsi"/>
                <w:szCs w:val="24"/>
              </w:rPr>
            </w:pPr>
            <w:r w:rsidRPr="00760EA8">
              <w:rPr>
                <w:rFonts w:cstheme="minorHAnsi"/>
                <w:szCs w:val="24"/>
              </w:rPr>
              <w:t>3,7</w:t>
            </w:r>
          </w:p>
        </w:tc>
        <w:tc>
          <w:tcPr>
            <w:tcW w:w="2481" w:type="dxa"/>
            <w:vAlign w:val="center"/>
          </w:tcPr>
          <w:p w14:paraId="432E3968" w14:textId="2877685F" w:rsidR="00760EA8" w:rsidRPr="00760EA8" w:rsidRDefault="00760EA8" w:rsidP="00760EA8">
            <w:pPr>
              <w:jc w:val="center"/>
              <w:rPr>
                <w:rFonts w:cstheme="minorHAnsi"/>
                <w:szCs w:val="24"/>
              </w:rPr>
            </w:pPr>
            <w:r w:rsidRPr="00760EA8">
              <w:rPr>
                <w:rFonts w:cstheme="minorHAnsi"/>
                <w:szCs w:val="24"/>
              </w:rPr>
              <w:t>-7,3</w:t>
            </w:r>
          </w:p>
        </w:tc>
      </w:tr>
      <w:tr w:rsidR="00760EA8" w:rsidRPr="00760EA8" w14:paraId="3DF3D0AF" w14:textId="77777777" w:rsidTr="00153B24">
        <w:trPr>
          <w:jc w:val="center"/>
        </w:trPr>
        <w:tc>
          <w:tcPr>
            <w:tcW w:w="4689" w:type="dxa"/>
            <w:vAlign w:val="center"/>
          </w:tcPr>
          <w:p w14:paraId="6070F52A" w14:textId="07F9B3A3" w:rsidR="00760EA8" w:rsidRPr="00760EA8" w:rsidRDefault="00760EA8" w:rsidP="00760EA8">
            <w:pPr>
              <w:rPr>
                <w:rFonts w:cstheme="minorHAnsi"/>
                <w:szCs w:val="24"/>
              </w:rPr>
            </w:pPr>
            <w:r w:rsidRPr="00760EA8">
              <w:rPr>
                <w:rFonts w:cstheme="minorHAnsi"/>
                <w:szCs w:val="24"/>
              </w:rPr>
              <w:t>Operācijas ar nekustamo īpašumu</w:t>
            </w:r>
          </w:p>
        </w:tc>
        <w:tc>
          <w:tcPr>
            <w:tcW w:w="2126" w:type="dxa"/>
            <w:vAlign w:val="center"/>
          </w:tcPr>
          <w:p w14:paraId="687A371A" w14:textId="59C59E8C" w:rsidR="00760EA8" w:rsidRPr="00760EA8" w:rsidRDefault="00760EA8" w:rsidP="00760EA8">
            <w:pPr>
              <w:jc w:val="center"/>
              <w:rPr>
                <w:rFonts w:cstheme="minorHAnsi"/>
                <w:szCs w:val="24"/>
              </w:rPr>
            </w:pPr>
            <w:r w:rsidRPr="00760EA8">
              <w:rPr>
                <w:rFonts w:cstheme="minorHAnsi"/>
                <w:szCs w:val="24"/>
              </w:rPr>
              <w:t>12,0</w:t>
            </w:r>
          </w:p>
        </w:tc>
        <w:tc>
          <w:tcPr>
            <w:tcW w:w="2481" w:type="dxa"/>
            <w:vAlign w:val="center"/>
          </w:tcPr>
          <w:p w14:paraId="33A0E166" w14:textId="66E8FEB8" w:rsidR="00760EA8" w:rsidRPr="00760EA8" w:rsidRDefault="00760EA8" w:rsidP="00760EA8">
            <w:pPr>
              <w:jc w:val="center"/>
              <w:rPr>
                <w:rFonts w:cstheme="minorHAnsi"/>
                <w:szCs w:val="24"/>
              </w:rPr>
            </w:pPr>
            <w:r w:rsidRPr="00760EA8">
              <w:rPr>
                <w:rFonts w:cstheme="minorHAnsi"/>
                <w:szCs w:val="24"/>
              </w:rPr>
              <w:t>2,9</w:t>
            </w:r>
          </w:p>
        </w:tc>
      </w:tr>
      <w:tr w:rsidR="00760EA8" w:rsidRPr="00760EA8" w14:paraId="4B1DF6AC" w14:textId="77777777" w:rsidTr="00153B24">
        <w:trPr>
          <w:jc w:val="center"/>
        </w:trPr>
        <w:tc>
          <w:tcPr>
            <w:tcW w:w="4689" w:type="dxa"/>
            <w:vAlign w:val="center"/>
          </w:tcPr>
          <w:p w14:paraId="791873BF" w14:textId="1FD0A2C0" w:rsidR="00760EA8" w:rsidRPr="00760EA8" w:rsidRDefault="00760EA8" w:rsidP="00760EA8">
            <w:pPr>
              <w:rPr>
                <w:rFonts w:cstheme="minorHAnsi"/>
                <w:szCs w:val="24"/>
              </w:rPr>
            </w:pPr>
            <w:r w:rsidRPr="00760EA8">
              <w:rPr>
                <w:rFonts w:cstheme="minorHAnsi"/>
                <w:szCs w:val="24"/>
              </w:rPr>
              <w:t>Profesionālie, zinātniskie un tehniskie pakalpojumi; administratīvo un apkalpojošo dienestu darbība</w:t>
            </w:r>
          </w:p>
        </w:tc>
        <w:tc>
          <w:tcPr>
            <w:tcW w:w="2126" w:type="dxa"/>
            <w:vAlign w:val="center"/>
          </w:tcPr>
          <w:p w14:paraId="3A1D5A00" w14:textId="39172BBC" w:rsidR="00760EA8" w:rsidRPr="00760EA8" w:rsidRDefault="00760EA8" w:rsidP="00760EA8">
            <w:pPr>
              <w:jc w:val="center"/>
              <w:rPr>
                <w:rFonts w:cstheme="minorHAnsi"/>
                <w:szCs w:val="24"/>
              </w:rPr>
            </w:pPr>
            <w:r w:rsidRPr="00760EA8">
              <w:rPr>
                <w:rFonts w:cstheme="minorHAnsi"/>
                <w:szCs w:val="24"/>
              </w:rPr>
              <w:t>7,8</w:t>
            </w:r>
          </w:p>
        </w:tc>
        <w:tc>
          <w:tcPr>
            <w:tcW w:w="2481" w:type="dxa"/>
            <w:vAlign w:val="center"/>
          </w:tcPr>
          <w:p w14:paraId="13129655" w14:textId="7B98A97C" w:rsidR="00760EA8" w:rsidRPr="00760EA8" w:rsidRDefault="00760EA8" w:rsidP="00760EA8">
            <w:pPr>
              <w:jc w:val="center"/>
              <w:rPr>
                <w:rFonts w:cstheme="minorHAnsi"/>
                <w:szCs w:val="24"/>
              </w:rPr>
            </w:pPr>
            <w:r w:rsidRPr="00760EA8">
              <w:rPr>
                <w:rFonts w:cstheme="minorHAnsi"/>
                <w:szCs w:val="24"/>
              </w:rPr>
              <w:t>3,8</w:t>
            </w:r>
          </w:p>
        </w:tc>
      </w:tr>
      <w:tr w:rsidR="00760EA8" w:rsidRPr="00760EA8" w14:paraId="5113F88A" w14:textId="77777777" w:rsidTr="00153B24">
        <w:trPr>
          <w:jc w:val="center"/>
        </w:trPr>
        <w:tc>
          <w:tcPr>
            <w:tcW w:w="4689" w:type="dxa"/>
            <w:vAlign w:val="center"/>
          </w:tcPr>
          <w:p w14:paraId="5C43F2C6" w14:textId="48D7FC9A" w:rsidR="00760EA8" w:rsidRPr="00760EA8" w:rsidRDefault="00760EA8" w:rsidP="00760EA8">
            <w:pPr>
              <w:rPr>
                <w:rFonts w:cstheme="minorHAnsi"/>
                <w:szCs w:val="24"/>
              </w:rPr>
            </w:pPr>
            <w:r w:rsidRPr="00760EA8">
              <w:rPr>
                <w:rFonts w:cstheme="minorHAnsi"/>
                <w:szCs w:val="24"/>
              </w:rPr>
              <w:t>Valsts pārvalde un aizsardzība, obligātā sociālā apdrošināšana; izglītība; veselība un sociālā aprūpe</w:t>
            </w:r>
          </w:p>
        </w:tc>
        <w:tc>
          <w:tcPr>
            <w:tcW w:w="2126" w:type="dxa"/>
            <w:vAlign w:val="center"/>
          </w:tcPr>
          <w:p w14:paraId="35C578B0" w14:textId="5C42A786" w:rsidR="00760EA8" w:rsidRPr="00760EA8" w:rsidRDefault="00760EA8" w:rsidP="00760EA8">
            <w:pPr>
              <w:jc w:val="center"/>
              <w:rPr>
                <w:rFonts w:cstheme="minorHAnsi"/>
                <w:szCs w:val="24"/>
              </w:rPr>
            </w:pPr>
            <w:r w:rsidRPr="00760EA8">
              <w:rPr>
                <w:rFonts w:cstheme="minorHAnsi"/>
                <w:szCs w:val="24"/>
              </w:rPr>
              <w:t>15,7</w:t>
            </w:r>
          </w:p>
        </w:tc>
        <w:tc>
          <w:tcPr>
            <w:tcW w:w="2481" w:type="dxa"/>
            <w:vAlign w:val="center"/>
          </w:tcPr>
          <w:p w14:paraId="73B3BAD8" w14:textId="1949A45E" w:rsidR="00760EA8" w:rsidRPr="00760EA8" w:rsidRDefault="00760EA8" w:rsidP="00760EA8">
            <w:pPr>
              <w:jc w:val="center"/>
              <w:rPr>
                <w:rFonts w:cstheme="minorHAnsi"/>
                <w:szCs w:val="24"/>
              </w:rPr>
            </w:pPr>
            <w:r w:rsidRPr="00760EA8">
              <w:rPr>
                <w:rFonts w:cstheme="minorHAnsi"/>
                <w:szCs w:val="24"/>
              </w:rPr>
              <w:t>3,3</w:t>
            </w:r>
          </w:p>
        </w:tc>
      </w:tr>
      <w:tr w:rsidR="00760EA8" w:rsidRPr="00760EA8" w14:paraId="5345EC71" w14:textId="77777777" w:rsidTr="00153B24">
        <w:trPr>
          <w:jc w:val="center"/>
        </w:trPr>
        <w:tc>
          <w:tcPr>
            <w:tcW w:w="4689" w:type="dxa"/>
            <w:vAlign w:val="center"/>
          </w:tcPr>
          <w:p w14:paraId="1AE954DE" w14:textId="79BC1A0E" w:rsidR="00760EA8" w:rsidRPr="00760EA8" w:rsidRDefault="00760EA8" w:rsidP="00760EA8">
            <w:pPr>
              <w:rPr>
                <w:rFonts w:cstheme="minorHAnsi"/>
                <w:szCs w:val="24"/>
              </w:rPr>
            </w:pPr>
            <w:r w:rsidRPr="00760EA8">
              <w:rPr>
                <w:rFonts w:cstheme="minorHAnsi"/>
                <w:szCs w:val="24"/>
              </w:rPr>
              <w:t>Māksla, izklaide un atpūta; citi pakalpojumi; mājsaimniecību kā darba devēju darbība</w:t>
            </w:r>
          </w:p>
        </w:tc>
        <w:tc>
          <w:tcPr>
            <w:tcW w:w="2126" w:type="dxa"/>
            <w:vAlign w:val="center"/>
          </w:tcPr>
          <w:p w14:paraId="0469856B" w14:textId="428CE3C7" w:rsidR="00760EA8" w:rsidRPr="00760EA8" w:rsidRDefault="00760EA8" w:rsidP="00760EA8">
            <w:pPr>
              <w:jc w:val="center"/>
              <w:rPr>
                <w:rFonts w:cstheme="minorHAnsi"/>
                <w:szCs w:val="24"/>
              </w:rPr>
            </w:pPr>
            <w:r w:rsidRPr="00760EA8">
              <w:rPr>
                <w:rFonts w:cstheme="minorHAnsi"/>
                <w:szCs w:val="24"/>
              </w:rPr>
              <w:t>3,0</w:t>
            </w:r>
          </w:p>
        </w:tc>
        <w:tc>
          <w:tcPr>
            <w:tcW w:w="2481" w:type="dxa"/>
            <w:vAlign w:val="center"/>
          </w:tcPr>
          <w:p w14:paraId="5F301942" w14:textId="5F3B4CDA" w:rsidR="00760EA8" w:rsidRPr="00760EA8" w:rsidRDefault="00760EA8" w:rsidP="00760EA8">
            <w:pPr>
              <w:jc w:val="center"/>
              <w:rPr>
                <w:rFonts w:cstheme="minorHAnsi"/>
                <w:szCs w:val="24"/>
              </w:rPr>
            </w:pPr>
            <w:r w:rsidRPr="00760EA8">
              <w:rPr>
                <w:rFonts w:cstheme="minorHAnsi"/>
                <w:szCs w:val="24"/>
              </w:rPr>
              <w:t>2,3</w:t>
            </w:r>
          </w:p>
        </w:tc>
      </w:tr>
    </w:tbl>
    <w:p w14:paraId="531A84A5" w14:textId="77777777" w:rsidR="00861F83" w:rsidRPr="006C1A81" w:rsidRDefault="00861F83" w:rsidP="006C1A81">
      <w:pPr>
        <w:spacing w:before="120" w:after="120" w:line="240" w:lineRule="auto"/>
        <w:jc w:val="both"/>
        <w:rPr>
          <w:rFonts w:cstheme="minorHAnsi"/>
        </w:rPr>
      </w:pPr>
      <w:r w:rsidRPr="006C1A81">
        <w:rPr>
          <w:rFonts w:cstheme="minorHAnsi"/>
        </w:rPr>
        <w:t>2018. gada decembrī, salīdzinot ar 2017. gada decembri, patēriņa cenas palielinājās par 2,6 %, tai skaitā precēm cenas pieauga par 2,3 %, bet pakalpojumiem – par 3,1 %.</w:t>
      </w:r>
      <w:r w:rsidR="00760EA8" w:rsidRPr="006C1A81">
        <w:rPr>
          <w:rFonts w:cstheme="minorHAnsi"/>
        </w:rPr>
        <w:t xml:space="preserve"> Ražotāju cenas 2018. gada decembrī, salīdzinot ar 2017. gada decembri, palielinājās par 5,4 % 2018. gada decembrī, salīdzinot ar 2017. gada decembri, ražotāju cenu līmenis Latvijas rūpniecībā ir palielinājies par 5,4 %. Vietējā tirgū realizētajai produkcijai cenas pieauga par 7,3 %, savukārt eksportētajai produkcijai – par 3,7 %. Eksportam gan uz </w:t>
      </w:r>
      <w:proofErr w:type="spellStart"/>
      <w:r w:rsidR="00760EA8" w:rsidRPr="006C1A81">
        <w:rPr>
          <w:rFonts w:cstheme="minorHAnsi"/>
        </w:rPr>
        <w:t>eirozonas</w:t>
      </w:r>
      <w:proofErr w:type="spellEnd"/>
      <w:r w:rsidR="00760EA8" w:rsidRPr="006C1A81">
        <w:rPr>
          <w:rFonts w:cstheme="minorHAnsi"/>
        </w:rPr>
        <w:t xml:space="preserve">, gan ārpus </w:t>
      </w:r>
      <w:proofErr w:type="spellStart"/>
      <w:r w:rsidR="00760EA8" w:rsidRPr="006C1A81">
        <w:rPr>
          <w:rFonts w:cstheme="minorHAnsi"/>
        </w:rPr>
        <w:t>eirozonas</w:t>
      </w:r>
      <w:proofErr w:type="spellEnd"/>
      <w:r w:rsidR="00760EA8" w:rsidRPr="006C1A81">
        <w:rPr>
          <w:rFonts w:cstheme="minorHAnsi"/>
        </w:rPr>
        <w:t xml:space="preserve"> valstīm cenas augušas par 3,7 %. Būtiskākā ietekme bija cenu pieaugumam koksnes, koka un korķa izstrādājumu ražošanā, izņemot mēbeles, kā arī elektroenerģijas tirdzniecībai un ražošanai, tvaika piegādei un gaisa kondicionēšanai, gāzes realizācijai pa cauruļvadiem. Lielākā pazeminošā ietekme bija elektrisko iekārtu ražošanā.</w:t>
      </w:r>
    </w:p>
    <w:p w14:paraId="3C0E9B36" w14:textId="7241B6F0" w:rsidR="00934EE9" w:rsidRPr="006C1A81" w:rsidRDefault="003845B4" w:rsidP="006C1A81">
      <w:pPr>
        <w:pStyle w:val="Heading30"/>
      </w:pPr>
      <w:r w:rsidRPr="006C1A81">
        <w:t>Attīstības prognozes</w:t>
      </w:r>
    </w:p>
    <w:p w14:paraId="17653A77" w14:textId="77777777" w:rsidR="00934EE9" w:rsidRPr="006C1A81" w:rsidRDefault="00934EE9" w:rsidP="006C1A81">
      <w:pPr>
        <w:spacing w:before="120" w:after="120" w:line="240" w:lineRule="auto"/>
        <w:jc w:val="both"/>
        <w:rPr>
          <w:rFonts w:cstheme="minorHAnsi"/>
          <w:szCs w:val="24"/>
        </w:rPr>
      </w:pPr>
      <w:r w:rsidRPr="006C1A81">
        <w:rPr>
          <w:rFonts w:cstheme="minorHAnsi"/>
          <w:szCs w:val="24"/>
        </w:rPr>
        <w:t xml:space="preserve">Makroekonomisko rādītāju prognozes ir izstrādātas, balstoties uz konservatīviem pieņēmumiem un izvērtējot ārējās un iekšējās vides riskus. Galvenais izaugsmes dzinējs ir ienākumi no eksporta un eksporta iespēju paplašināšanās, spēja iekļauties starptautiskās produktu ķēdēs ar augstākas pievienotās vērtības produkciju un vairāk radīt kvalitatīvu gala produkciju. Vienlaikus jāņem vērā, ka atvērta darba tirgus apstākļos vismaz vidējā termiņā saglabāsies salīdzinoši straujš darbaspēka izmaksu kāpums un turpinās samazināties darbaspēka izmaksu konkurētspējas priekšrocības. Vidējā un ilgtermiņā straujāka attīstība ir sagaidāma nozarēs, kas spēs palielināt produktivitāti, ko ietekmē tehnoloģiskās atpalicības pārvarēšana, ražošanas modernizēšana un investīcijas, ieguldījumi </w:t>
      </w:r>
      <w:proofErr w:type="spellStart"/>
      <w:r w:rsidRPr="006C1A81">
        <w:rPr>
          <w:rFonts w:cstheme="minorHAnsi"/>
          <w:szCs w:val="24"/>
        </w:rPr>
        <w:t>cilvēkkapitālā</w:t>
      </w:r>
      <w:proofErr w:type="spellEnd"/>
      <w:r w:rsidRPr="006C1A81">
        <w:rPr>
          <w:rFonts w:cstheme="minorHAnsi"/>
          <w:szCs w:val="24"/>
        </w:rPr>
        <w:t>, pētniecībā un inovācijā u.c. piedāvājuma puses faktori. Ekonomikas attīstības tempus bāzes scenārijā ietekmēs arī negatīvās demogrāfijas tendences.</w:t>
      </w:r>
    </w:p>
    <w:p w14:paraId="5F34727C" w14:textId="77777777" w:rsidR="00934EE9" w:rsidRPr="006C1A81" w:rsidRDefault="00934EE9" w:rsidP="006C1A81">
      <w:pPr>
        <w:spacing w:before="120" w:after="120" w:line="240" w:lineRule="auto"/>
        <w:jc w:val="both"/>
        <w:rPr>
          <w:rFonts w:cstheme="minorHAnsi"/>
          <w:szCs w:val="24"/>
        </w:rPr>
      </w:pPr>
      <w:r w:rsidRPr="006C1A81">
        <w:rPr>
          <w:rFonts w:cstheme="minorHAnsi"/>
          <w:szCs w:val="24"/>
        </w:rPr>
        <w:t>Vidējā termiņā (2023.g) un ilgtermiņā (2030.g) ekonomikas izaugsmes tempi kļūs lēnāki. Atvērta darba tirgus apstākļos vidējā termiņā turpināsies algu konverģence ar Rietumeiropas valstīm. Rezultātā tas negatīvi ietekmēs uzņēmumu konkurētspēju zemas pievienotās vērtības segmentos. Savukārt pāreja uz augstākas pievienotās vērtības ekonomiku noritēs pakāpeniski. Iedzīvotāju skaita samazināšanās un lēnāki ienākuma pieauguma tempi ilgtermiņā ietekmēs privātā patēriņa pieaugumu.</w:t>
      </w:r>
    </w:p>
    <w:p w14:paraId="7A18D5A9" w14:textId="29801CD8" w:rsidR="00934EE9" w:rsidRPr="006C1A81" w:rsidRDefault="00934EE9" w:rsidP="006C1A81">
      <w:pPr>
        <w:pStyle w:val="Caption"/>
        <w:rPr>
          <w:rFonts w:asciiTheme="minorHAnsi" w:hAnsiTheme="minorHAnsi" w:cstheme="minorHAnsi"/>
        </w:rPr>
      </w:pPr>
      <w:r w:rsidRPr="006C1A81">
        <w:rPr>
          <w:rFonts w:asciiTheme="minorHAnsi" w:hAnsiTheme="minorHAnsi" w:cstheme="minorHAnsi"/>
          <w:noProof/>
        </w:rPr>
        <w:fldChar w:fldCharType="begin"/>
      </w:r>
      <w:r w:rsidRPr="006C1A81">
        <w:rPr>
          <w:rFonts w:asciiTheme="minorHAnsi" w:hAnsiTheme="minorHAnsi" w:cstheme="minorHAnsi"/>
          <w:noProof/>
        </w:rPr>
        <w:instrText xml:space="preserve"> SEQ Tabula \* ARABIC </w:instrText>
      </w:r>
      <w:r w:rsidRPr="006C1A81">
        <w:rPr>
          <w:rFonts w:asciiTheme="minorHAnsi" w:hAnsiTheme="minorHAnsi" w:cstheme="minorHAnsi"/>
          <w:noProof/>
        </w:rPr>
        <w:fldChar w:fldCharType="separate"/>
      </w:r>
      <w:r w:rsidR="001121B4">
        <w:rPr>
          <w:rFonts w:asciiTheme="minorHAnsi" w:hAnsiTheme="minorHAnsi" w:cstheme="minorHAnsi"/>
          <w:noProof/>
        </w:rPr>
        <w:t>2</w:t>
      </w:r>
      <w:r w:rsidRPr="006C1A81">
        <w:rPr>
          <w:rFonts w:asciiTheme="minorHAnsi" w:hAnsiTheme="minorHAnsi" w:cstheme="minorHAnsi"/>
          <w:noProof/>
        </w:rPr>
        <w:fldChar w:fldCharType="end"/>
      </w:r>
      <w:r w:rsidRPr="006C1A81">
        <w:rPr>
          <w:rFonts w:asciiTheme="minorHAnsi" w:hAnsiTheme="minorHAnsi" w:cstheme="minorHAnsi"/>
        </w:rPr>
        <w:t>.tabula. Makroekonomisko rādītāju izmaiņas (procentuāli, vidēji periodā) bāzes scenārijā periodā līdz 2030.gadam</w:t>
      </w:r>
      <w:r w:rsidR="006C1A81">
        <w:rPr>
          <w:rStyle w:val="FootnoteReference"/>
          <w:rFonts w:asciiTheme="minorHAnsi" w:hAnsiTheme="minorHAnsi" w:cstheme="minorHAnsi"/>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238"/>
        <w:gridCol w:w="1238"/>
        <w:gridCol w:w="1238"/>
        <w:gridCol w:w="1238"/>
      </w:tblGrid>
      <w:tr w:rsidR="00934EE9" w:rsidRPr="006C1A81" w14:paraId="348F1716" w14:textId="77777777" w:rsidTr="00290DBF">
        <w:trPr>
          <w:trHeight w:val="300"/>
          <w:jc w:val="center"/>
        </w:trPr>
        <w:tc>
          <w:tcPr>
            <w:tcW w:w="2268" w:type="pct"/>
            <w:shd w:val="clear" w:color="auto" w:fill="auto"/>
            <w:noWrap/>
            <w:vAlign w:val="center"/>
            <w:hideMark/>
          </w:tcPr>
          <w:p w14:paraId="25C9B3B3" w14:textId="77777777" w:rsidR="00934EE9" w:rsidRPr="006C1A81" w:rsidRDefault="00934EE9" w:rsidP="006C1A81">
            <w:pPr>
              <w:spacing w:after="0" w:line="240" w:lineRule="auto"/>
              <w:rPr>
                <w:rFonts w:cstheme="minorHAnsi"/>
                <w:b/>
                <w:bCs/>
                <w:color w:val="000000" w:themeColor="text1"/>
                <w:sz w:val="22"/>
                <w:u w:val="single"/>
                <w:lang w:eastAsia="lv-LV"/>
              </w:rPr>
            </w:pPr>
          </w:p>
        </w:tc>
        <w:tc>
          <w:tcPr>
            <w:tcW w:w="683" w:type="pct"/>
            <w:shd w:val="clear" w:color="auto" w:fill="auto"/>
            <w:noWrap/>
            <w:vAlign w:val="center"/>
            <w:hideMark/>
          </w:tcPr>
          <w:p w14:paraId="45FFA4E1" w14:textId="77777777" w:rsidR="00934EE9" w:rsidRPr="006C1A81" w:rsidRDefault="00934EE9" w:rsidP="006C1A81">
            <w:pPr>
              <w:spacing w:after="0" w:line="240" w:lineRule="auto"/>
              <w:jc w:val="center"/>
              <w:rPr>
                <w:rFonts w:eastAsia="Times New Roman" w:cstheme="minorHAnsi"/>
                <w:b/>
                <w:bCs/>
                <w:color w:val="000000" w:themeColor="text1"/>
                <w:sz w:val="22"/>
                <w:lang w:eastAsia="lv-LV"/>
              </w:rPr>
            </w:pPr>
            <w:r w:rsidRPr="006C1A81">
              <w:rPr>
                <w:rFonts w:cstheme="minorHAnsi"/>
                <w:b/>
                <w:bCs/>
                <w:color w:val="000000" w:themeColor="text1"/>
                <w:sz w:val="22"/>
                <w:lang w:eastAsia="lv-LV"/>
              </w:rPr>
              <w:t>2017/2015</w:t>
            </w:r>
          </w:p>
        </w:tc>
        <w:tc>
          <w:tcPr>
            <w:tcW w:w="683" w:type="pct"/>
            <w:shd w:val="clear" w:color="auto" w:fill="auto"/>
            <w:noWrap/>
            <w:vAlign w:val="center"/>
            <w:hideMark/>
          </w:tcPr>
          <w:p w14:paraId="7B65372F" w14:textId="77777777" w:rsidR="00934EE9" w:rsidRPr="006C1A81" w:rsidRDefault="00934EE9" w:rsidP="006C1A81">
            <w:pPr>
              <w:spacing w:after="0" w:line="240" w:lineRule="auto"/>
              <w:jc w:val="center"/>
              <w:rPr>
                <w:rFonts w:cstheme="minorHAnsi"/>
                <w:b/>
                <w:bCs/>
                <w:color w:val="000000" w:themeColor="text1"/>
                <w:sz w:val="22"/>
                <w:lang w:eastAsia="lv-LV"/>
              </w:rPr>
            </w:pPr>
            <w:r w:rsidRPr="006C1A81">
              <w:rPr>
                <w:rFonts w:cstheme="minorHAnsi"/>
                <w:b/>
                <w:bCs/>
                <w:color w:val="000000" w:themeColor="text1"/>
                <w:sz w:val="22"/>
                <w:lang w:eastAsia="lv-LV"/>
              </w:rPr>
              <w:t>2019/2017</w:t>
            </w:r>
          </w:p>
        </w:tc>
        <w:tc>
          <w:tcPr>
            <w:tcW w:w="683" w:type="pct"/>
            <w:shd w:val="clear" w:color="auto" w:fill="auto"/>
            <w:noWrap/>
            <w:vAlign w:val="center"/>
            <w:hideMark/>
          </w:tcPr>
          <w:p w14:paraId="7502F20B" w14:textId="77777777" w:rsidR="00934EE9" w:rsidRPr="006C1A81" w:rsidRDefault="00934EE9" w:rsidP="006C1A81">
            <w:pPr>
              <w:spacing w:after="0" w:line="240" w:lineRule="auto"/>
              <w:jc w:val="center"/>
              <w:rPr>
                <w:rFonts w:cstheme="minorHAnsi"/>
                <w:b/>
                <w:bCs/>
                <w:color w:val="000000" w:themeColor="text1"/>
                <w:sz w:val="22"/>
                <w:lang w:eastAsia="lv-LV"/>
              </w:rPr>
            </w:pPr>
            <w:r w:rsidRPr="006C1A81">
              <w:rPr>
                <w:rFonts w:cstheme="minorHAnsi"/>
                <w:b/>
                <w:bCs/>
                <w:color w:val="000000" w:themeColor="text1"/>
                <w:sz w:val="22"/>
                <w:lang w:eastAsia="lv-LV"/>
              </w:rPr>
              <w:t>2023/2019</w:t>
            </w:r>
          </w:p>
        </w:tc>
        <w:tc>
          <w:tcPr>
            <w:tcW w:w="683" w:type="pct"/>
            <w:shd w:val="clear" w:color="auto" w:fill="auto"/>
            <w:noWrap/>
            <w:vAlign w:val="center"/>
            <w:hideMark/>
          </w:tcPr>
          <w:p w14:paraId="0D0C8676" w14:textId="77777777" w:rsidR="00934EE9" w:rsidRPr="006C1A81" w:rsidRDefault="00934EE9" w:rsidP="006C1A81">
            <w:pPr>
              <w:spacing w:after="0" w:line="240" w:lineRule="auto"/>
              <w:jc w:val="center"/>
              <w:rPr>
                <w:rFonts w:cstheme="minorHAnsi"/>
                <w:b/>
                <w:bCs/>
                <w:color w:val="000000" w:themeColor="text1"/>
                <w:sz w:val="22"/>
                <w:lang w:eastAsia="lv-LV"/>
              </w:rPr>
            </w:pPr>
            <w:r w:rsidRPr="006C1A81">
              <w:rPr>
                <w:rFonts w:cstheme="minorHAnsi"/>
                <w:b/>
                <w:bCs/>
                <w:color w:val="000000" w:themeColor="text1"/>
                <w:sz w:val="22"/>
                <w:lang w:eastAsia="lv-LV"/>
              </w:rPr>
              <w:t>2030/2023</w:t>
            </w:r>
          </w:p>
        </w:tc>
      </w:tr>
      <w:tr w:rsidR="00934EE9" w:rsidRPr="006C1A81" w14:paraId="7162FEF1" w14:textId="77777777" w:rsidTr="00290DBF">
        <w:trPr>
          <w:trHeight w:val="300"/>
          <w:jc w:val="center"/>
        </w:trPr>
        <w:tc>
          <w:tcPr>
            <w:tcW w:w="2268" w:type="pct"/>
            <w:shd w:val="clear" w:color="auto" w:fill="auto"/>
            <w:noWrap/>
            <w:vAlign w:val="center"/>
            <w:hideMark/>
          </w:tcPr>
          <w:p w14:paraId="70758600" w14:textId="77777777" w:rsidR="00934EE9" w:rsidRPr="006C1A81" w:rsidRDefault="00934EE9" w:rsidP="006C1A81">
            <w:pPr>
              <w:spacing w:after="0" w:line="240" w:lineRule="auto"/>
              <w:rPr>
                <w:rFonts w:cstheme="minorHAnsi"/>
                <w:color w:val="000000" w:themeColor="text1"/>
                <w:sz w:val="22"/>
                <w:lang w:eastAsia="lv-LV"/>
              </w:rPr>
            </w:pPr>
            <w:r w:rsidRPr="006C1A81">
              <w:rPr>
                <w:rFonts w:cstheme="minorHAnsi"/>
                <w:color w:val="000000" w:themeColor="text1"/>
                <w:sz w:val="22"/>
                <w:lang w:eastAsia="lv-LV"/>
              </w:rPr>
              <w:t>Iedzīvotāju skaits</w:t>
            </w:r>
          </w:p>
        </w:tc>
        <w:tc>
          <w:tcPr>
            <w:tcW w:w="683" w:type="pct"/>
            <w:shd w:val="clear" w:color="auto" w:fill="auto"/>
            <w:noWrap/>
            <w:vAlign w:val="center"/>
            <w:hideMark/>
          </w:tcPr>
          <w:p w14:paraId="67A29420"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-0,92</w:t>
            </w:r>
          </w:p>
        </w:tc>
        <w:tc>
          <w:tcPr>
            <w:tcW w:w="683" w:type="pct"/>
            <w:shd w:val="clear" w:color="auto" w:fill="auto"/>
            <w:noWrap/>
            <w:vAlign w:val="center"/>
            <w:hideMark/>
          </w:tcPr>
          <w:p w14:paraId="63197FA4"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-1,11</w:t>
            </w:r>
          </w:p>
        </w:tc>
        <w:tc>
          <w:tcPr>
            <w:tcW w:w="683" w:type="pct"/>
            <w:shd w:val="clear" w:color="auto" w:fill="auto"/>
            <w:noWrap/>
            <w:vAlign w:val="center"/>
            <w:hideMark/>
          </w:tcPr>
          <w:p w14:paraId="6442A59F"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-1,29</w:t>
            </w:r>
          </w:p>
        </w:tc>
        <w:tc>
          <w:tcPr>
            <w:tcW w:w="683" w:type="pct"/>
            <w:shd w:val="clear" w:color="auto" w:fill="auto"/>
            <w:noWrap/>
            <w:vAlign w:val="center"/>
            <w:hideMark/>
          </w:tcPr>
          <w:p w14:paraId="6BD8A5F1"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-1,42</w:t>
            </w:r>
          </w:p>
        </w:tc>
      </w:tr>
      <w:tr w:rsidR="00934EE9" w:rsidRPr="006C1A81" w14:paraId="4899CFD1" w14:textId="77777777" w:rsidTr="00290DBF">
        <w:trPr>
          <w:trHeight w:val="300"/>
          <w:jc w:val="center"/>
        </w:trPr>
        <w:tc>
          <w:tcPr>
            <w:tcW w:w="2268" w:type="pct"/>
            <w:shd w:val="clear" w:color="auto" w:fill="auto"/>
            <w:noWrap/>
            <w:vAlign w:val="center"/>
            <w:hideMark/>
          </w:tcPr>
          <w:p w14:paraId="7DDB4F12" w14:textId="77777777" w:rsidR="00934EE9" w:rsidRPr="006C1A81" w:rsidRDefault="00934EE9" w:rsidP="006C1A81">
            <w:pPr>
              <w:spacing w:after="0" w:line="240" w:lineRule="auto"/>
              <w:rPr>
                <w:rFonts w:cstheme="minorHAnsi"/>
                <w:bCs/>
                <w:color w:val="000000" w:themeColor="text1"/>
                <w:sz w:val="22"/>
                <w:lang w:eastAsia="lv-LV"/>
              </w:rPr>
            </w:pPr>
            <w:r w:rsidRPr="006C1A81">
              <w:rPr>
                <w:rFonts w:cstheme="minorHAnsi"/>
                <w:bCs/>
                <w:color w:val="000000" w:themeColor="text1"/>
                <w:sz w:val="22"/>
                <w:lang w:eastAsia="lv-LV"/>
              </w:rPr>
              <w:t>IKP faktiskajās cenās</w:t>
            </w:r>
          </w:p>
        </w:tc>
        <w:tc>
          <w:tcPr>
            <w:tcW w:w="683" w:type="pct"/>
            <w:shd w:val="clear" w:color="auto" w:fill="auto"/>
            <w:noWrap/>
            <w:vAlign w:val="center"/>
            <w:hideMark/>
          </w:tcPr>
          <w:p w14:paraId="6175588D"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5,1</w:t>
            </w:r>
          </w:p>
        </w:tc>
        <w:tc>
          <w:tcPr>
            <w:tcW w:w="683" w:type="pct"/>
            <w:shd w:val="clear" w:color="auto" w:fill="auto"/>
            <w:noWrap/>
            <w:vAlign w:val="center"/>
            <w:hideMark/>
          </w:tcPr>
          <w:p w14:paraId="6DD31287"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6,7</w:t>
            </w:r>
          </w:p>
        </w:tc>
        <w:tc>
          <w:tcPr>
            <w:tcW w:w="683" w:type="pct"/>
            <w:shd w:val="clear" w:color="auto" w:fill="auto"/>
            <w:noWrap/>
            <w:vAlign w:val="center"/>
            <w:hideMark/>
          </w:tcPr>
          <w:p w14:paraId="557AC82B"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5,3</w:t>
            </w:r>
          </w:p>
        </w:tc>
        <w:tc>
          <w:tcPr>
            <w:tcW w:w="683" w:type="pct"/>
            <w:shd w:val="clear" w:color="auto" w:fill="auto"/>
            <w:noWrap/>
            <w:vAlign w:val="center"/>
            <w:hideMark/>
          </w:tcPr>
          <w:p w14:paraId="625DEEAA"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4,2</w:t>
            </w:r>
          </w:p>
        </w:tc>
      </w:tr>
      <w:tr w:rsidR="00934EE9" w:rsidRPr="006C1A81" w14:paraId="46DB5502" w14:textId="77777777" w:rsidTr="00290DBF">
        <w:trPr>
          <w:trHeight w:val="300"/>
          <w:jc w:val="center"/>
        </w:trPr>
        <w:tc>
          <w:tcPr>
            <w:tcW w:w="2268" w:type="pct"/>
            <w:shd w:val="clear" w:color="auto" w:fill="auto"/>
            <w:noWrap/>
            <w:vAlign w:val="center"/>
            <w:hideMark/>
          </w:tcPr>
          <w:p w14:paraId="4FC65985" w14:textId="77777777" w:rsidR="00934EE9" w:rsidRPr="006C1A81" w:rsidRDefault="00934EE9" w:rsidP="006C1A81">
            <w:pPr>
              <w:spacing w:after="0" w:line="240" w:lineRule="auto"/>
              <w:rPr>
                <w:rFonts w:cstheme="minorHAnsi"/>
                <w:bCs/>
                <w:color w:val="000000" w:themeColor="text1"/>
                <w:sz w:val="22"/>
                <w:lang w:eastAsia="lv-LV"/>
              </w:rPr>
            </w:pPr>
            <w:r w:rsidRPr="006C1A81">
              <w:rPr>
                <w:rFonts w:cstheme="minorHAnsi"/>
                <w:bCs/>
                <w:color w:val="000000" w:themeColor="text1"/>
                <w:sz w:val="22"/>
                <w:lang w:eastAsia="lv-LV"/>
              </w:rPr>
              <w:t>IKP salīdzināmās cenās</w:t>
            </w:r>
          </w:p>
        </w:tc>
        <w:tc>
          <w:tcPr>
            <w:tcW w:w="683" w:type="pct"/>
            <w:shd w:val="clear" w:color="auto" w:fill="auto"/>
            <w:noWrap/>
            <w:vAlign w:val="center"/>
            <w:hideMark/>
          </w:tcPr>
          <w:p w14:paraId="07651FEE"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3,4</w:t>
            </w:r>
          </w:p>
        </w:tc>
        <w:tc>
          <w:tcPr>
            <w:tcW w:w="683" w:type="pct"/>
            <w:shd w:val="clear" w:color="auto" w:fill="auto"/>
            <w:noWrap/>
            <w:vAlign w:val="center"/>
            <w:hideMark/>
          </w:tcPr>
          <w:p w14:paraId="4D86B46B"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3,7</w:t>
            </w:r>
          </w:p>
        </w:tc>
        <w:tc>
          <w:tcPr>
            <w:tcW w:w="683" w:type="pct"/>
            <w:shd w:val="clear" w:color="auto" w:fill="auto"/>
            <w:noWrap/>
            <w:vAlign w:val="center"/>
            <w:hideMark/>
          </w:tcPr>
          <w:p w14:paraId="43C4473C"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2,7</w:t>
            </w:r>
          </w:p>
        </w:tc>
        <w:tc>
          <w:tcPr>
            <w:tcW w:w="683" w:type="pct"/>
            <w:shd w:val="clear" w:color="auto" w:fill="auto"/>
            <w:noWrap/>
            <w:vAlign w:val="center"/>
            <w:hideMark/>
          </w:tcPr>
          <w:p w14:paraId="5BEDA4E2"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2,1</w:t>
            </w:r>
          </w:p>
        </w:tc>
      </w:tr>
      <w:tr w:rsidR="00934EE9" w:rsidRPr="006C1A81" w14:paraId="71F51578" w14:textId="77777777" w:rsidTr="00290DBF">
        <w:trPr>
          <w:trHeight w:val="300"/>
          <w:jc w:val="center"/>
        </w:trPr>
        <w:tc>
          <w:tcPr>
            <w:tcW w:w="2268" w:type="pct"/>
            <w:shd w:val="clear" w:color="auto" w:fill="auto"/>
            <w:noWrap/>
            <w:vAlign w:val="center"/>
            <w:hideMark/>
          </w:tcPr>
          <w:p w14:paraId="6758FE92" w14:textId="77777777" w:rsidR="00934EE9" w:rsidRPr="006C1A81" w:rsidRDefault="00934EE9" w:rsidP="006C1A81">
            <w:pPr>
              <w:spacing w:after="0" w:line="240" w:lineRule="auto"/>
              <w:rPr>
                <w:rFonts w:cstheme="minorHAnsi"/>
                <w:color w:val="000000" w:themeColor="text1"/>
                <w:sz w:val="22"/>
                <w:lang w:eastAsia="lv-LV"/>
              </w:rPr>
            </w:pPr>
            <w:r w:rsidRPr="006C1A81">
              <w:rPr>
                <w:rFonts w:cstheme="minorHAnsi"/>
                <w:bCs/>
                <w:color w:val="000000" w:themeColor="text1"/>
                <w:sz w:val="22"/>
                <w:lang w:eastAsia="lv-LV"/>
              </w:rPr>
              <w:lastRenderedPageBreak/>
              <w:t>Privātais patēriņš salīdzināmās cenās</w:t>
            </w:r>
          </w:p>
        </w:tc>
        <w:tc>
          <w:tcPr>
            <w:tcW w:w="683" w:type="pct"/>
            <w:shd w:val="clear" w:color="auto" w:fill="auto"/>
            <w:noWrap/>
            <w:vAlign w:val="center"/>
            <w:hideMark/>
          </w:tcPr>
          <w:p w14:paraId="5C2B26DE"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4,2</w:t>
            </w:r>
          </w:p>
        </w:tc>
        <w:tc>
          <w:tcPr>
            <w:tcW w:w="683" w:type="pct"/>
            <w:shd w:val="clear" w:color="auto" w:fill="auto"/>
            <w:noWrap/>
            <w:vAlign w:val="center"/>
            <w:hideMark/>
          </w:tcPr>
          <w:p w14:paraId="7E7EE7D7"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4,4</w:t>
            </w:r>
          </w:p>
        </w:tc>
        <w:tc>
          <w:tcPr>
            <w:tcW w:w="683" w:type="pct"/>
            <w:shd w:val="clear" w:color="auto" w:fill="auto"/>
            <w:noWrap/>
            <w:vAlign w:val="center"/>
            <w:hideMark/>
          </w:tcPr>
          <w:p w14:paraId="65911119"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2,9</w:t>
            </w:r>
          </w:p>
        </w:tc>
        <w:tc>
          <w:tcPr>
            <w:tcW w:w="683" w:type="pct"/>
            <w:shd w:val="clear" w:color="auto" w:fill="auto"/>
            <w:noWrap/>
            <w:vAlign w:val="center"/>
            <w:hideMark/>
          </w:tcPr>
          <w:p w14:paraId="0949DECD" w14:textId="77777777" w:rsidR="00934EE9" w:rsidRPr="006C1A81" w:rsidRDefault="00934EE9" w:rsidP="006C1A81">
            <w:pPr>
              <w:spacing w:after="0" w:line="240" w:lineRule="auto"/>
              <w:jc w:val="center"/>
              <w:rPr>
                <w:rFonts w:cstheme="minorHAnsi"/>
                <w:color w:val="000000" w:themeColor="text1"/>
                <w:sz w:val="22"/>
                <w:lang w:eastAsia="lv-LV"/>
              </w:rPr>
            </w:pPr>
            <w:r w:rsidRPr="006C1A81">
              <w:rPr>
                <w:rFonts w:cstheme="minorHAnsi"/>
                <w:color w:val="000000" w:themeColor="text1"/>
                <w:sz w:val="22"/>
                <w:lang w:eastAsia="lv-LV"/>
              </w:rPr>
              <w:t>2,1</w:t>
            </w:r>
          </w:p>
        </w:tc>
      </w:tr>
    </w:tbl>
    <w:p w14:paraId="624582DE" w14:textId="77777777" w:rsidR="00934EE9" w:rsidRPr="006C1A81" w:rsidRDefault="00934EE9" w:rsidP="006C1A81">
      <w:pPr>
        <w:spacing w:before="120" w:after="120" w:line="240" w:lineRule="auto"/>
        <w:jc w:val="both"/>
        <w:rPr>
          <w:rFonts w:cstheme="minorHAnsi"/>
          <w:szCs w:val="24"/>
        </w:rPr>
      </w:pPr>
      <w:r w:rsidRPr="006C1A81">
        <w:rPr>
          <w:rFonts w:cstheme="minorHAnsi"/>
          <w:szCs w:val="24"/>
        </w:rPr>
        <w:t xml:space="preserve">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 </w:t>
      </w:r>
    </w:p>
    <w:p w14:paraId="1FBA7C9B" w14:textId="77777777" w:rsidR="00934EE9" w:rsidRPr="006C1A81" w:rsidRDefault="00934EE9" w:rsidP="006C1A81">
      <w:pPr>
        <w:spacing w:before="120" w:after="120" w:line="240" w:lineRule="auto"/>
        <w:jc w:val="center"/>
        <w:rPr>
          <w:rFonts w:cstheme="minorHAnsi"/>
          <w:szCs w:val="24"/>
        </w:rPr>
      </w:pPr>
      <w:r w:rsidRPr="006C1A81">
        <w:rPr>
          <w:rFonts w:cstheme="minorHAnsi"/>
          <w:noProof/>
          <w:szCs w:val="24"/>
          <w:lang w:eastAsia="lv-LV"/>
        </w:rPr>
        <w:drawing>
          <wp:inline distT="0" distB="0" distL="0" distR="0" wp14:anchorId="4A0D4C80" wp14:editId="7B3C9A4C">
            <wp:extent cx="4709795" cy="264733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3181" cy="2649233"/>
                    </a:xfrm>
                    <a:prstGeom prst="rect">
                      <a:avLst/>
                    </a:prstGeom>
                    <a:noFill/>
                  </pic:spPr>
                </pic:pic>
              </a:graphicData>
            </a:graphic>
          </wp:inline>
        </w:drawing>
      </w:r>
    </w:p>
    <w:p w14:paraId="504B06BF" w14:textId="3135FA0C" w:rsidR="00934EE9" w:rsidRPr="006C1A81" w:rsidRDefault="00934EE9" w:rsidP="006C1A81">
      <w:pPr>
        <w:pStyle w:val="Caption"/>
        <w:rPr>
          <w:rFonts w:asciiTheme="minorHAnsi" w:hAnsiTheme="minorHAnsi" w:cstheme="minorHAnsi"/>
          <w:szCs w:val="24"/>
        </w:rPr>
      </w:pPr>
      <w:r w:rsidRPr="006C1A81">
        <w:rPr>
          <w:rFonts w:asciiTheme="minorHAnsi" w:hAnsiTheme="minorHAnsi" w:cstheme="minorHAnsi"/>
          <w:szCs w:val="24"/>
        </w:rPr>
        <w:fldChar w:fldCharType="begin"/>
      </w:r>
      <w:r w:rsidRPr="006C1A81">
        <w:rPr>
          <w:rFonts w:asciiTheme="minorHAnsi" w:hAnsiTheme="minorHAnsi" w:cstheme="minorHAnsi"/>
          <w:szCs w:val="24"/>
        </w:rPr>
        <w:instrText xml:space="preserve"> SEQ Ilustrācija \* ARABIC </w:instrText>
      </w:r>
      <w:r w:rsidRPr="006C1A81">
        <w:rPr>
          <w:rFonts w:asciiTheme="minorHAnsi" w:hAnsiTheme="minorHAnsi" w:cstheme="minorHAnsi"/>
          <w:szCs w:val="24"/>
        </w:rPr>
        <w:fldChar w:fldCharType="separate"/>
      </w:r>
      <w:r w:rsidR="001121B4">
        <w:rPr>
          <w:rFonts w:asciiTheme="minorHAnsi" w:hAnsiTheme="minorHAnsi" w:cstheme="minorHAnsi"/>
          <w:noProof/>
          <w:szCs w:val="24"/>
        </w:rPr>
        <w:t>1</w:t>
      </w:r>
      <w:r w:rsidRPr="006C1A81">
        <w:rPr>
          <w:rFonts w:asciiTheme="minorHAnsi" w:hAnsiTheme="minorHAnsi" w:cstheme="minorHAnsi"/>
          <w:szCs w:val="24"/>
        </w:rPr>
        <w:fldChar w:fldCharType="end"/>
      </w:r>
      <w:r w:rsidRPr="006C1A81">
        <w:rPr>
          <w:rFonts w:asciiTheme="minorHAnsi" w:hAnsiTheme="minorHAnsi" w:cstheme="minorHAnsi"/>
        </w:rPr>
        <w:t>.attēls. Makroekonomisko rādītāju tendences 2000.-2030.g. (2000=100)</w:t>
      </w:r>
      <w:r w:rsidRPr="006C1A81">
        <w:rPr>
          <w:rStyle w:val="FootnoteReference"/>
          <w:rFonts w:asciiTheme="minorHAnsi" w:hAnsiTheme="minorHAnsi" w:cstheme="minorHAnsi"/>
        </w:rPr>
        <w:footnoteReference w:id="3"/>
      </w:r>
    </w:p>
    <w:p w14:paraId="694EAF51" w14:textId="77777777" w:rsidR="00934EE9" w:rsidRPr="006C1A81" w:rsidRDefault="00934EE9" w:rsidP="006C1A81">
      <w:pPr>
        <w:pStyle w:val="Heading4"/>
        <w:ind w:left="0" w:firstLine="0"/>
      </w:pPr>
      <w:r w:rsidRPr="006C1A81">
        <w:t>Nozaru attīstības tendences</w:t>
      </w:r>
    </w:p>
    <w:p w14:paraId="52CF0742" w14:textId="77777777" w:rsidR="000C3361" w:rsidRPr="006C1A81" w:rsidRDefault="000C3361" w:rsidP="006C1A81">
      <w:pPr>
        <w:spacing w:before="120" w:after="120" w:line="240" w:lineRule="auto"/>
        <w:jc w:val="both"/>
        <w:rPr>
          <w:rFonts w:cstheme="minorHAnsi"/>
          <w:szCs w:val="24"/>
          <w:lang w:bidi="en-US"/>
        </w:rPr>
      </w:pPr>
      <w:r w:rsidRPr="006C1A81">
        <w:rPr>
          <w:rFonts w:cstheme="minorHAnsi"/>
          <w:szCs w:val="24"/>
          <w:lang w:bidi="en-US"/>
        </w:rPr>
        <w:t xml:space="preserve">Pieprasījums pēc enerģijas ir tieši saistīts ar ekonomisko attīstību valstī, tāpēc enerģijas pakalpojumu (lietderīgās enerģijas) pieprasījums nākotnē tiek aprēķināts par izejas parametriem izmantojot Ekonomikas ministrijas 2018.gadā izstrādātās prognozes par  makroekonomikas attīstību raksturojošo rādītāju (iedzīvotāju skaits, IKP, pievienotā vērtība pa tautsaimniecības nozarēm un rūpniecības </w:t>
      </w:r>
      <w:proofErr w:type="spellStart"/>
      <w:r w:rsidRPr="006C1A81">
        <w:rPr>
          <w:rFonts w:cstheme="minorHAnsi"/>
          <w:szCs w:val="24"/>
          <w:lang w:bidi="en-US"/>
        </w:rPr>
        <w:t>apakšnozarēm</w:t>
      </w:r>
      <w:proofErr w:type="spellEnd"/>
      <w:r w:rsidRPr="006C1A81">
        <w:rPr>
          <w:rFonts w:cstheme="minorHAnsi"/>
          <w:szCs w:val="24"/>
          <w:lang w:bidi="en-US"/>
        </w:rPr>
        <w:t>, privātais patēriņš) izmaiņu dinamiku.</w:t>
      </w:r>
    </w:p>
    <w:p w14:paraId="0AA89FC7" w14:textId="77777777" w:rsidR="00934EE9" w:rsidRPr="006C1A81" w:rsidRDefault="00934EE9" w:rsidP="006C1A81">
      <w:pPr>
        <w:spacing w:before="120" w:after="120" w:line="240" w:lineRule="auto"/>
        <w:jc w:val="both"/>
        <w:rPr>
          <w:rFonts w:cstheme="minorHAnsi"/>
          <w:szCs w:val="24"/>
        </w:rPr>
      </w:pPr>
      <w:r w:rsidRPr="006C1A81">
        <w:rPr>
          <w:rFonts w:cstheme="minorHAnsi"/>
          <w:szCs w:val="24"/>
        </w:rPr>
        <w:t xml:space="preserve">Bāzes scenārijā vidējā un ilgtermiņā apstrādes rūpniecībai saglabājas straujāki pieauguma tempi, nekā vidēji tautsaimniecībā. Vienlaikus izaugsme ne tik daudz būs saistīta ar ekstensīvu materiālietilpīgu ražošanas apjomu kāpināšanu, cik jaunāko tehnoloģisko procesu izmantošanu, </w:t>
      </w:r>
      <w:proofErr w:type="spellStart"/>
      <w:r w:rsidRPr="006C1A81">
        <w:rPr>
          <w:rFonts w:cstheme="minorHAnsi"/>
          <w:szCs w:val="24"/>
        </w:rPr>
        <w:t>digitalizāciju</w:t>
      </w:r>
      <w:proofErr w:type="spellEnd"/>
      <w:r w:rsidRPr="006C1A81">
        <w:rPr>
          <w:rFonts w:cstheme="minorHAnsi"/>
          <w:szCs w:val="24"/>
        </w:rPr>
        <w:t>, procesu optimizēšanu utt. Straujāka attīstība iepriekšminēto faktoru dēļ ir sagaidāma augsto un vidēju augsto tehnoloģiju nozarēs – ķīmijā, farmācijā, elektronikā u.c.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0206579C" w14:textId="77777777" w:rsidR="00934EE9" w:rsidRPr="006C1A81" w:rsidRDefault="00934EE9" w:rsidP="006C1A81">
      <w:pPr>
        <w:spacing w:before="120" w:after="120" w:line="240" w:lineRule="auto"/>
        <w:jc w:val="both"/>
        <w:rPr>
          <w:rFonts w:cstheme="minorHAnsi"/>
          <w:szCs w:val="24"/>
        </w:rPr>
      </w:pPr>
      <w:r w:rsidRPr="006C1A81">
        <w:rPr>
          <w:rFonts w:cstheme="minorHAnsi"/>
          <w:szCs w:val="24"/>
        </w:rPr>
        <w:t xml:space="preserve">Bāzes scenārijs līdz 2030.gadam neparedz ļoti būtisku tautsaimniecības nozaru struktūras maiņu, salīdzinājumā ar pašreizējo situāciju. Tā saglabāsies tuva esošajai. Lai arī eksports ir galvenais izaugsmes virzītājs, tas nenozīmē, ka īpaši pieaugs eksporta nozaru īpatsvars. Galvenais iemesls ir, ka pēdējos gados ir būtiski mainījies biznesa modelis. Jebkura nozare prasa apjomīgus citu nozaru pakalpojumus (piemēram, IT pakalpojumus, loģistikas un transporta, citus biznesa pakalpojumus, pat grāmatvedības uzskaiti tiešā veidā var neveikt </w:t>
      </w:r>
      <w:r w:rsidRPr="006C1A81">
        <w:rPr>
          <w:rFonts w:cstheme="minorHAnsi"/>
          <w:szCs w:val="24"/>
        </w:rPr>
        <w:lastRenderedPageBreak/>
        <w:t>pats uzņēmums u.tml.). Tādejādi jebkuras nozares izaugsme atbilstoši rada arī citu nozaru pieaugumu it īpaši biznesa pakalpojumos. Komercpakalpojumu nozaru īpatsvars līdz 2030.gadam varētu palielināties par 1 procentpunktu. Pieaugums sagaidāms arī IT, būvniecības un rūpniecības nozaru īpatsvaram tautsaimniecībā. Savukārt lauksaimniecības, transporta, finanšu pakalpojumu un sabiedrisko pakalpojumu nozaru īpatsvars varētu nedaudz samazināties.</w:t>
      </w:r>
    </w:p>
    <w:p w14:paraId="7EEE06E6" w14:textId="656C6169" w:rsidR="00934EE9" w:rsidRPr="006C1A81" w:rsidRDefault="00934EE9" w:rsidP="006C1A81">
      <w:pPr>
        <w:spacing w:before="120" w:after="120" w:line="240" w:lineRule="auto"/>
        <w:jc w:val="both"/>
        <w:rPr>
          <w:rFonts w:cstheme="minorHAnsi"/>
        </w:rPr>
      </w:pPr>
      <w:r w:rsidRPr="006C1A81">
        <w:rPr>
          <w:rFonts w:cstheme="minorHAnsi"/>
        </w:rPr>
        <w:t xml:space="preserve">Latvijā netiek plānotas būtiskas </w:t>
      </w:r>
      <w:proofErr w:type="spellStart"/>
      <w:r w:rsidRPr="006C1A81">
        <w:rPr>
          <w:rFonts w:cstheme="minorHAnsi"/>
        </w:rPr>
        <w:t>sektorālās</w:t>
      </w:r>
      <w:proofErr w:type="spellEnd"/>
      <w:r w:rsidRPr="006C1A81">
        <w:rPr>
          <w:rFonts w:cstheme="minorHAnsi"/>
        </w:rPr>
        <w:t xml:space="preserve"> izmaiņas</w:t>
      </w:r>
      <w:r w:rsidR="003845B4" w:rsidRPr="006C1A81">
        <w:rPr>
          <w:rFonts w:cstheme="minorHAnsi"/>
        </w:rPr>
        <w:t xml:space="preserve">. </w:t>
      </w:r>
      <w:r w:rsidRPr="006C1A81">
        <w:rPr>
          <w:rFonts w:cstheme="minorHAnsi"/>
        </w:rPr>
        <w:t xml:space="preserve">Prognozētās energosistēmas izmaiņas galvenokārt skar transporta sektoru, kur tiek prognozēta izmantotās enerģijas nomaiņa no fosilā kurināmā uz alternatīvajām degvielām. Tiek arī prognozēts elektroenerģijas ražošanas un izmantošanas pieaugums, gan dekarbonizācijas pasākumu īstenošanai, piemēram, transporta sektora </w:t>
      </w:r>
      <w:proofErr w:type="spellStart"/>
      <w:r w:rsidRPr="006C1A81">
        <w:rPr>
          <w:rFonts w:cstheme="minorHAnsi"/>
        </w:rPr>
        <w:t>elektromobilitāte</w:t>
      </w:r>
      <w:proofErr w:type="spellEnd"/>
      <w:r w:rsidRPr="006C1A81">
        <w:rPr>
          <w:rFonts w:cstheme="minorHAnsi"/>
        </w:rPr>
        <w:t xml:space="preserve">, gan </w:t>
      </w:r>
      <w:proofErr w:type="spellStart"/>
      <w:r w:rsidRPr="006C1A81">
        <w:rPr>
          <w:rFonts w:cstheme="minorHAnsi"/>
        </w:rPr>
        <w:t>starpsavienojumu</w:t>
      </w:r>
      <w:proofErr w:type="spellEnd"/>
      <w:r w:rsidRPr="006C1A81">
        <w:rPr>
          <w:rFonts w:cstheme="minorHAnsi"/>
        </w:rPr>
        <w:t xml:space="preserve"> jaudas nodrošināšanai.</w:t>
      </w:r>
    </w:p>
    <w:p w14:paraId="0C8BAE9A" w14:textId="0F635BE7" w:rsidR="00934EE9" w:rsidRPr="006C1A81" w:rsidRDefault="00934EE9" w:rsidP="006C1A81">
      <w:pPr>
        <w:pStyle w:val="Heading30"/>
      </w:pPr>
      <w:r w:rsidRPr="006C1A81">
        <w:t xml:space="preserve">Globālās tendences enerģētikā, starptautiskās fosilā kurināmā cenas, </w:t>
      </w:r>
      <w:r w:rsidR="003845B4" w:rsidRPr="006C1A81">
        <w:t xml:space="preserve">emisijas kvotas </w:t>
      </w:r>
      <w:r w:rsidRPr="006C1A81">
        <w:t xml:space="preserve">cena, izmaiņas tehnoloģiskajās izmaksās </w:t>
      </w:r>
    </w:p>
    <w:p w14:paraId="65B605F6" w14:textId="77777777" w:rsidR="00934EE9" w:rsidRPr="006C1A81" w:rsidRDefault="00934EE9" w:rsidP="006C1A81">
      <w:pPr>
        <w:spacing w:before="120" w:after="120" w:line="240" w:lineRule="auto"/>
        <w:jc w:val="both"/>
        <w:rPr>
          <w:rFonts w:cstheme="minorHAnsi"/>
          <w:szCs w:val="24"/>
          <w:lang w:eastAsia="lv-LV"/>
        </w:rPr>
      </w:pPr>
      <w:r w:rsidRPr="006C1A81">
        <w:rPr>
          <w:rFonts w:cstheme="minorHAnsi"/>
          <w:szCs w:val="24"/>
          <w:lang w:eastAsia="lv-LV"/>
        </w:rPr>
        <w:t>Enerģijas resursu cenu attīstība ir svarīgs faktors, kas ietekmē enerģijas patēriņa tendences, jo cena ko enerģijas lietotājs ir gatavs maksāt rāda, cik daudz enerģijas resursus viņi vēlas patērēt un cik daudz ir vērts ieguldīt tehnoloģiju efektivitātes uzlabošanā, lai nodrošinātu enerģijas pakalpojumu. Cenu prognozes ir ieejas parametrs modelī. Modelēšana tiek veikta ar pieņēmumu, ka katrs enerģijas resursa veids būs pieejams pietiekošā daudzumā, lai apmierinātu enerģijas pieprasījumu apskatāmajā laika periodā, bet iegūšanas un transportēšanas cena ir nenoteikta, tiek prognozēta.</w:t>
      </w:r>
    </w:p>
    <w:p w14:paraId="130F9B2B" w14:textId="77777777" w:rsidR="00934EE9" w:rsidRPr="006C1A81" w:rsidRDefault="00934EE9" w:rsidP="006C1A81">
      <w:pPr>
        <w:spacing w:before="120" w:after="120" w:line="240" w:lineRule="auto"/>
        <w:jc w:val="both"/>
        <w:rPr>
          <w:rFonts w:cstheme="minorHAnsi"/>
          <w:szCs w:val="24"/>
          <w:lang w:eastAsia="lv-LV"/>
        </w:rPr>
      </w:pPr>
      <w:r w:rsidRPr="006C1A81">
        <w:rPr>
          <w:rFonts w:cstheme="minorHAnsi"/>
          <w:szCs w:val="24"/>
          <w:lang w:eastAsia="lv-LV"/>
        </w:rPr>
        <w:t xml:space="preserve">Enerģijas resursu cenu prognozes sastādītas, izmantojot par pamatu starptautiskās Enerģētikas aģentūras (IEA WEO 2016) Pasaules enerģētikas pārskatā publicēto informāciju. Enerģijas resursu piegādes izmaksas jeb transportēšanas izmaksas modelī ir ņemtas vērā atsevišķi katram sektoram. Enerģijas resursu piegādes cenās ir iekļauti iekšzemes degvielas/enerģijas pārvadājumi, enerģijas resursu uzglabāšana, degvielas uzpildīšanas stacijas utt. </w:t>
      </w:r>
    </w:p>
    <w:p w14:paraId="15E4AD53" w14:textId="67532DB7" w:rsidR="00934EE9" w:rsidRPr="006C1A81" w:rsidRDefault="00934EE9" w:rsidP="006C1A81">
      <w:pPr>
        <w:spacing w:before="120" w:after="120" w:line="240" w:lineRule="auto"/>
        <w:jc w:val="both"/>
        <w:rPr>
          <w:rFonts w:cstheme="minorHAnsi"/>
          <w:szCs w:val="24"/>
          <w:lang w:eastAsia="lv-LV"/>
        </w:rPr>
      </w:pPr>
      <w:r w:rsidRPr="006C1A81">
        <w:rPr>
          <w:rFonts w:cstheme="minorHAnsi"/>
          <w:szCs w:val="24"/>
          <w:lang w:eastAsia="lv-LV"/>
        </w:rPr>
        <w:t xml:space="preserve">Modelējot enerģētikas sistēmu vērā tiek ņemti visi spēkā esošie nodokļi ar to likmēm un pieņēmumi par to attīstību nākotnē. Papildus prognožu aprēķināšanā tiek ņemts vērā arī EK prognozes par </w:t>
      </w:r>
      <w:r w:rsidR="003845B4" w:rsidRPr="006C1A81">
        <w:rPr>
          <w:rFonts w:cstheme="minorHAnsi"/>
          <w:szCs w:val="24"/>
          <w:lang w:eastAsia="lv-LV"/>
        </w:rPr>
        <w:t xml:space="preserve">emisijas kvotu </w:t>
      </w:r>
      <w:r w:rsidRPr="006C1A81">
        <w:rPr>
          <w:rFonts w:cstheme="minorHAnsi"/>
          <w:szCs w:val="24"/>
          <w:lang w:eastAsia="lv-LV"/>
        </w:rPr>
        <w:t>cenu ES ETS līdz 2050.gadam.</w:t>
      </w:r>
      <w:r w:rsidR="006C1A81" w:rsidRPr="006C1A81">
        <w:rPr>
          <w:rFonts w:cstheme="minorHAnsi"/>
          <w:szCs w:val="24"/>
          <w:lang w:eastAsia="lv-LV"/>
        </w:rPr>
        <w:t xml:space="preserve"> </w:t>
      </w:r>
      <w:r w:rsidR="003845B4" w:rsidRPr="006C1A81">
        <w:rPr>
          <w:rFonts w:cstheme="minorHAnsi"/>
          <w:szCs w:val="24"/>
        </w:rPr>
        <w:t xml:space="preserve">EK aktualizējot emisijas kvotu cenas prognozes paredzēja, ka emisijas kvotu cena 2025.gadā būs 23,3 </w:t>
      </w:r>
      <w:proofErr w:type="spellStart"/>
      <w:r w:rsidR="003845B4" w:rsidRPr="006C1A81">
        <w:rPr>
          <w:rFonts w:cstheme="minorHAnsi"/>
          <w:szCs w:val="24"/>
        </w:rPr>
        <w:t>euro</w:t>
      </w:r>
      <w:proofErr w:type="spellEnd"/>
      <w:r w:rsidR="003845B4" w:rsidRPr="006C1A81">
        <w:rPr>
          <w:rFonts w:cstheme="minorHAnsi"/>
          <w:szCs w:val="24"/>
        </w:rPr>
        <w:t xml:space="preserve"> par kvotu, </w:t>
      </w:r>
      <w:r w:rsidR="006C1A81" w:rsidRPr="006C1A81">
        <w:rPr>
          <w:rFonts w:cstheme="minorHAnsi"/>
          <w:szCs w:val="24"/>
        </w:rPr>
        <w:t xml:space="preserve">kas ir mazāk par 2019.gada cenu 24-25 </w:t>
      </w:r>
      <w:proofErr w:type="spellStart"/>
      <w:r w:rsidR="006C1A81" w:rsidRPr="006C1A81">
        <w:rPr>
          <w:rFonts w:cstheme="minorHAnsi"/>
          <w:szCs w:val="24"/>
        </w:rPr>
        <w:t>euro</w:t>
      </w:r>
      <w:proofErr w:type="spellEnd"/>
      <w:r w:rsidR="006C1A81" w:rsidRPr="006C1A81">
        <w:rPr>
          <w:rFonts w:cstheme="minorHAnsi"/>
          <w:szCs w:val="24"/>
        </w:rPr>
        <w:t xml:space="preserve"> par kvotu, </w:t>
      </w:r>
      <w:r w:rsidR="003845B4" w:rsidRPr="006C1A81">
        <w:rPr>
          <w:rFonts w:cstheme="minorHAnsi"/>
          <w:szCs w:val="24"/>
        </w:rPr>
        <w:t xml:space="preserve">bet 2030.gadā – 34,7 </w:t>
      </w:r>
      <w:proofErr w:type="spellStart"/>
      <w:r w:rsidR="003845B4" w:rsidRPr="006C1A81">
        <w:rPr>
          <w:rFonts w:cstheme="minorHAnsi"/>
          <w:szCs w:val="24"/>
        </w:rPr>
        <w:t>euro</w:t>
      </w:r>
      <w:proofErr w:type="spellEnd"/>
      <w:r w:rsidR="003845B4" w:rsidRPr="006C1A81">
        <w:rPr>
          <w:rFonts w:cstheme="minorHAnsi"/>
          <w:szCs w:val="24"/>
        </w:rPr>
        <w:t xml:space="preserve"> par kvotu.  </w:t>
      </w:r>
    </w:p>
    <w:p w14:paraId="2A1C463A" w14:textId="485DA2DF" w:rsidR="006C1A81" w:rsidRDefault="006C1A81">
      <w:pPr>
        <w:rPr>
          <w:lang w:eastAsia="lv-LV"/>
        </w:rPr>
      </w:pPr>
    </w:p>
    <w:p w14:paraId="1972FCB9" w14:textId="77777777" w:rsidR="00D87276" w:rsidRPr="00C15715" w:rsidRDefault="00D87276" w:rsidP="00D87276">
      <w:pPr>
        <w:pStyle w:val="Heading20"/>
      </w:pPr>
      <w:bookmarkStart w:id="2" w:name="_Toc17878290"/>
      <w:bookmarkEnd w:id="1"/>
      <w:r w:rsidRPr="00C15715">
        <w:t>Dekarbonizācija</w:t>
      </w:r>
      <w:bookmarkEnd w:id="2"/>
    </w:p>
    <w:p w14:paraId="6B5611EF" w14:textId="3B2CA4BF" w:rsidR="00D87276" w:rsidRPr="00C15715" w:rsidRDefault="00D87276" w:rsidP="00D87276">
      <w:pPr>
        <w:pStyle w:val="Heading30"/>
      </w:pPr>
      <w:r w:rsidRPr="00C15715">
        <w:rPr>
          <w:rStyle w:val="normaltextrun"/>
        </w:rPr>
        <w:t>SEG emisijas un</w:t>
      </w:r>
      <w:r w:rsidR="00520BCF">
        <w:rPr>
          <w:rStyle w:val="normaltextrun"/>
        </w:rPr>
        <w:t xml:space="preserve"> CO</w:t>
      </w:r>
      <w:r w:rsidR="00520BCF" w:rsidRPr="00520BCF">
        <w:rPr>
          <w:rStyle w:val="normaltextrun"/>
          <w:vertAlign w:val="subscript"/>
        </w:rPr>
        <w:t>2</w:t>
      </w:r>
      <w:r w:rsidRPr="00C15715">
        <w:rPr>
          <w:rStyle w:val="normaltextrun"/>
        </w:rPr>
        <w:t xml:space="preserve"> piesaist</w:t>
      </w:r>
      <w:r w:rsidR="00520BCF">
        <w:rPr>
          <w:rStyle w:val="normaltextrun"/>
        </w:rPr>
        <w:t>e</w:t>
      </w:r>
      <w:r w:rsidR="00CA0A68">
        <w:rPr>
          <w:rStyle w:val="FootnoteReference"/>
        </w:rPr>
        <w:footnoteReference w:id="4"/>
      </w:r>
    </w:p>
    <w:p w14:paraId="5FFAEEAA" w14:textId="77777777" w:rsidR="00D87276" w:rsidRPr="00C15715" w:rsidRDefault="00D87276" w:rsidP="00D87276">
      <w:pPr>
        <w:pStyle w:val="Heading4"/>
      </w:pPr>
      <w:r w:rsidRPr="00C15715">
        <w:rPr>
          <w:rStyle w:val="normaltextrun"/>
        </w:rPr>
        <w:t>Esošā situācija</w:t>
      </w:r>
      <w:r w:rsidRPr="00C15715">
        <w:rPr>
          <w:rStyle w:val="eop"/>
        </w:rPr>
        <w:t xml:space="preserve"> kopējā SEG emisiju apjomā </w:t>
      </w:r>
    </w:p>
    <w:p w14:paraId="38A2DEE1" w14:textId="6D24E330" w:rsidR="00D87276" w:rsidRPr="00C15715" w:rsidRDefault="00D87276" w:rsidP="00D87276">
      <w:pPr>
        <w:spacing w:before="120" w:after="120" w:line="240" w:lineRule="auto"/>
        <w:jc w:val="both"/>
        <w:rPr>
          <w:rFonts w:cstheme="minorHAnsi"/>
          <w:szCs w:val="24"/>
        </w:rPr>
      </w:pPr>
      <w:r w:rsidRPr="00C15715">
        <w:rPr>
          <w:rFonts w:cstheme="minorHAnsi"/>
          <w:szCs w:val="24"/>
        </w:rPr>
        <w:t>Atbilstoši 2019. gada SEG inventarizācijai par 1990.-2017.gadu</w:t>
      </w:r>
      <w:r w:rsidRPr="00C15715">
        <w:rPr>
          <w:rStyle w:val="FootnoteReference"/>
          <w:rFonts w:cstheme="minorHAnsi"/>
          <w:szCs w:val="24"/>
        </w:rPr>
        <w:footnoteReference w:id="5"/>
      </w:r>
      <w:r w:rsidRPr="00C15715">
        <w:rPr>
          <w:rFonts w:cstheme="minorHAnsi"/>
          <w:szCs w:val="24"/>
        </w:rPr>
        <w:t xml:space="preserve"> (turpmāk – 2019. gada SEG inventarizācija) un aptuvenai SEG inventarizācijai par 2018.gadu</w:t>
      </w:r>
      <w:r w:rsidRPr="00C15715">
        <w:rPr>
          <w:rStyle w:val="FootnoteReference"/>
          <w:rFonts w:cstheme="minorHAnsi"/>
          <w:szCs w:val="24"/>
        </w:rPr>
        <w:footnoteReference w:id="6"/>
      </w:r>
      <w:r w:rsidRPr="00C15715">
        <w:rPr>
          <w:rFonts w:cstheme="minorHAnsi"/>
          <w:szCs w:val="24"/>
        </w:rPr>
        <w:t xml:space="preserve"> Latvijas kopējās SEG</w:t>
      </w:r>
      <w:r w:rsidRPr="00C15715">
        <w:rPr>
          <w:rFonts w:cstheme="minorHAnsi"/>
          <w:b/>
          <w:szCs w:val="24"/>
        </w:rPr>
        <w:t xml:space="preserve"> </w:t>
      </w:r>
      <w:r w:rsidRPr="00C15715">
        <w:rPr>
          <w:rFonts w:cstheme="minorHAnsi"/>
          <w:szCs w:val="24"/>
        </w:rPr>
        <w:t xml:space="preserve">emisijas no 1990.gada līdz 2017.gadam un līdz 2018. gadam ir samazinātas attiecīgi par 57,04% un </w:t>
      </w:r>
      <w:r w:rsidRPr="00C15715">
        <w:rPr>
          <w:rFonts w:cstheme="minorHAnsi"/>
          <w:szCs w:val="24"/>
        </w:rPr>
        <w:lastRenderedPageBreak/>
        <w:t xml:space="preserve">55,13%, savukārt laika posmā no 2005.gada līdz 2017.gadam un 2018.gadam attiecīgi Latvijas kopējās SEG emisijas ir samazinātas par 0,98% un palielinātas par 3,43%. </w:t>
      </w:r>
    </w:p>
    <w:p w14:paraId="5B4D1F86" w14:textId="2B2CAC9E" w:rsidR="00D87276" w:rsidRPr="00C15715" w:rsidRDefault="00D87276" w:rsidP="00D87276">
      <w:pPr>
        <w:spacing w:before="120" w:after="120" w:line="240" w:lineRule="auto"/>
        <w:jc w:val="both"/>
        <w:rPr>
          <w:rFonts w:cstheme="minorHAnsi"/>
        </w:rPr>
      </w:pPr>
      <w:r w:rsidRPr="00C15715">
        <w:rPr>
          <w:rFonts w:cstheme="minorHAnsi"/>
          <w:szCs w:val="24"/>
        </w:rPr>
        <w:t>Kopējās Latvijas SEG emisijas 2017. gadā bija 11 297,4</w:t>
      </w:r>
      <w:r w:rsidR="00CA0A68">
        <w:rPr>
          <w:rFonts w:cstheme="minorHAnsi"/>
          <w:szCs w:val="24"/>
        </w:rPr>
        <w:t>0</w:t>
      </w:r>
      <w:r w:rsidRPr="00C15715">
        <w:rPr>
          <w:rFonts w:cstheme="minorHAnsi"/>
          <w:szCs w:val="24"/>
        </w:rPr>
        <w:t xml:space="preserve"> </w:t>
      </w:r>
      <w:proofErr w:type="spellStart"/>
      <w:r w:rsidRPr="00C15715">
        <w:rPr>
          <w:rFonts w:cstheme="minorHAnsi"/>
          <w:szCs w:val="24"/>
        </w:rPr>
        <w:t>kt</w:t>
      </w:r>
      <w:proofErr w:type="spellEnd"/>
      <w:r w:rsidRPr="00C15715">
        <w:rPr>
          <w:rFonts w:cstheme="minorHAnsi"/>
          <w:szCs w:val="24"/>
        </w:rPr>
        <w:t xml:space="preserve"> CO</w:t>
      </w:r>
      <w:r w:rsidRPr="00C15715">
        <w:rPr>
          <w:rFonts w:cstheme="minorHAnsi"/>
          <w:szCs w:val="24"/>
          <w:vertAlign w:val="subscript"/>
        </w:rPr>
        <w:t>2</w:t>
      </w:r>
      <w:r w:rsidRPr="00C15715">
        <w:rPr>
          <w:rFonts w:cstheme="minorHAnsi"/>
          <w:szCs w:val="24"/>
        </w:rPr>
        <w:t xml:space="preserve"> </w:t>
      </w:r>
      <w:proofErr w:type="spellStart"/>
      <w:r w:rsidRPr="00C15715">
        <w:rPr>
          <w:rFonts w:cstheme="minorHAnsi"/>
          <w:szCs w:val="24"/>
        </w:rPr>
        <w:t>ekv</w:t>
      </w:r>
      <w:proofErr w:type="spellEnd"/>
      <w:r w:rsidRPr="00C15715">
        <w:rPr>
          <w:rFonts w:cstheme="minorHAnsi"/>
          <w:szCs w:val="24"/>
        </w:rPr>
        <w:t xml:space="preserve">, bet aptuvenās 2018. gada SEG emisijas – 11 800,17 </w:t>
      </w:r>
      <w:proofErr w:type="spellStart"/>
      <w:r w:rsidRPr="00C15715">
        <w:rPr>
          <w:rFonts w:cstheme="minorHAnsi"/>
          <w:szCs w:val="24"/>
        </w:rPr>
        <w:t>kt</w:t>
      </w:r>
      <w:proofErr w:type="spellEnd"/>
      <w:r w:rsidRPr="00C15715">
        <w:rPr>
          <w:rFonts w:cstheme="minorHAnsi"/>
          <w:szCs w:val="24"/>
        </w:rPr>
        <w:t xml:space="preserve"> CO</w:t>
      </w:r>
      <w:r w:rsidRPr="00C15715">
        <w:rPr>
          <w:rFonts w:cstheme="minorHAnsi"/>
          <w:szCs w:val="24"/>
          <w:vertAlign w:val="subscript"/>
        </w:rPr>
        <w:t>2</w:t>
      </w:r>
      <w:r w:rsidRPr="00C15715">
        <w:rPr>
          <w:rFonts w:cstheme="minorHAnsi"/>
          <w:szCs w:val="24"/>
        </w:rPr>
        <w:t xml:space="preserve"> </w:t>
      </w:r>
      <w:proofErr w:type="spellStart"/>
      <w:r w:rsidRPr="00C15715">
        <w:rPr>
          <w:rFonts w:cstheme="minorHAnsi"/>
          <w:szCs w:val="24"/>
        </w:rPr>
        <w:t>ekv</w:t>
      </w:r>
      <w:proofErr w:type="spellEnd"/>
      <w:r w:rsidRPr="00C15715">
        <w:rPr>
          <w:rFonts w:cstheme="minorHAnsi"/>
          <w:szCs w:val="24"/>
        </w:rPr>
        <w:t>.</w:t>
      </w:r>
    </w:p>
    <w:p w14:paraId="38BF43F4" w14:textId="462ABEEA" w:rsidR="00D87276" w:rsidRPr="00C15715" w:rsidRDefault="005B731C" w:rsidP="00D87276">
      <w:pPr>
        <w:spacing w:before="120" w:after="120" w:line="240" w:lineRule="auto"/>
        <w:jc w:val="center"/>
        <w:rPr>
          <w:rFonts w:cstheme="minorHAnsi"/>
        </w:rPr>
      </w:pPr>
      <w:r>
        <w:rPr>
          <w:rFonts w:cstheme="minorHAnsi"/>
          <w:noProof/>
        </w:rPr>
        <w:drawing>
          <wp:inline distT="0" distB="0" distL="0" distR="0" wp14:anchorId="29197216" wp14:editId="5448B0B8">
            <wp:extent cx="5117017" cy="27749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4274" cy="2789731"/>
                    </a:xfrm>
                    <a:prstGeom prst="rect">
                      <a:avLst/>
                    </a:prstGeom>
                    <a:noFill/>
                  </pic:spPr>
                </pic:pic>
              </a:graphicData>
            </a:graphic>
          </wp:inline>
        </w:drawing>
      </w:r>
    </w:p>
    <w:p w14:paraId="1C9EAD2D" w14:textId="676E7AD2"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2</w:t>
      </w:r>
      <w:r w:rsidRPr="00C15715">
        <w:rPr>
          <w:rFonts w:asciiTheme="minorHAnsi" w:hAnsiTheme="minorHAnsi" w:cstheme="minorHAnsi"/>
          <w:noProof/>
        </w:rPr>
        <w:fldChar w:fldCharType="end"/>
      </w:r>
      <w:r w:rsidRPr="00C15715">
        <w:rPr>
          <w:rFonts w:asciiTheme="minorHAnsi" w:hAnsiTheme="minorHAnsi" w:cstheme="minorHAnsi"/>
        </w:rPr>
        <w:t>. attēls. Latvijas kopējās SEG emisijas (ieskaitot un neieskaitot ZIZIMM) 1990.-2018.gadā un ETS/ne-ETS SEG emisiju apjoma īpatsvars 2017. un 2018.gadā (</w:t>
      </w:r>
      <w:proofErr w:type="spellStart"/>
      <w:r w:rsidRPr="00C15715">
        <w:rPr>
          <w:rFonts w:asciiTheme="minorHAnsi" w:hAnsiTheme="minorHAnsi" w:cstheme="minorHAnsi"/>
        </w:rPr>
        <w:t>kt</w:t>
      </w:r>
      <w:proofErr w:type="spellEnd"/>
      <w:r w:rsidRPr="00C15715">
        <w:rPr>
          <w:rFonts w:asciiTheme="minorHAnsi" w:hAnsiTheme="minorHAnsi" w:cstheme="minorHAnsi"/>
        </w:rPr>
        <w:t xml:space="preserve"> CO</w:t>
      </w:r>
      <w:r w:rsidRPr="00C15715">
        <w:rPr>
          <w:rFonts w:asciiTheme="minorHAnsi" w:hAnsiTheme="minorHAnsi" w:cstheme="minorHAnsi"/>
          <w:vertAlign w:val="subscript"/>
        </w:rPr>
        <w:t>2</w:t>
      </w:r>
      <w:r w:rsidRPr="00C15715">
        <w:rPr>
          <w:rFonts w:asciiTheme="minorHAnsi" w:hAnsiTheme="minorHAnsi" w:cstheme="minorHAnsi"/>
        </w:rPr>
        <w:t xml:space="preserve"> </w:t>
      </w:r>
      <w:proofErr w:type="spellStart"/>
      <w:r w:rsidRPr="00C15715">
        <w:rPr>
          <w:rFonts w:asciiTheme="minorHAnsi" w:hAnsiTheme="minorHAnsi" w:cstheme="minorHAnsi"/>
        </w:rPr>
        <w:t>ekv</w:t>
      </w:r>
      <w:proofErr w:type="spellEnd"/>
      <w:r w:rsidRPr="00C15715">
        <w:rPr>
          <w:rFonts w:asciiTheme="minorHAnsi" w:hAnsiTheme="minorHAnsi" w:cstheme="minorHAnsi"/>
        </w:rPr>
        <w:t>.)</w:t>
      </w:r>
    </w:p>
    <w:p w14:paraId="0E666068" w14:textId="77777777" w:rsidR="00D87276" w:rsidRPr="00C15715" w:rsidRDefault="00D87276" w:rsidP="00D87276">
      <w:pPr>
        <w:pStyle w:val="Heading4"/>
      </w:pPr>
      <w:r w:rsidRPr="00C15715">
        <w:t xml:space="preserve">Esošā situācija </w:t>
      </w:r>
      <w:r w:rsidRPr="00C15715">
        <w:rPr>
          <w:rStyle w:val="eop"/>
        </w:rPr>
        <w:t>ETS un ne-ETS darbību SEG emisiju samazināšanā</w:t>
      </w:r>
    </w:p>
    <w:p w14:paraId="088D2D15" w14:textId="66633F74" w:rsidR="00D87276" w:rsidRPr="00C15715" w:rsidRDefault="00D87276" w:rsidP="00D87276">
      <w:pPr>
        <w:spacing w:before="120" w:after="120" w:line="240" w:lineRule="auto"/>
        <w:jc w:val="both"/>
        <w:rPr>
          <w:rFonts w:cstheme="minorHAnsi"/>
          <w:szCs w:val="24"/>
        </w:rPr>
      </w:pPr>
      <w:r w:rsidRPr="00C15715">
        <w:rPr>
          <w:rFonts w:cstheme="minorHAnsi"/>
          <w:szCs w:val="24"/>
        </w:rPr>
        <w:t>Latvijas kopējā SEG emisiju apjomā 2017.gadā dominēja ne-ETS darbību SEG emisiju apjoms – 81,</w:t>
      </w:r>
      <w:r w:rsidR="005B731C">
        <w:rPr>
          <w:rFonts w:cstheme="minorHAnsi"/>
          <w:szCs w:val="24"/>
        </w:rPr>
        <w:t>82</w:t>
      </w:r>
      <w:r w:rsidRPr="00C15715">
        <w:rPr>
          <w:rFonts w:cstheme="minorHAnsi"/>
          <w:szCs w:val="24"/>
        </w:rPr>
        <w:t> %. 2018. gada aptuvenais ne-ETS darbību SEG emisiju apjoma īpatsvars kopējā Latvijas SEG emisiju apjomā ir mazāks – 77,</w:t>
      </w:r>
      <w:r w:rsidR="005B731C">
        <w:rPr>
          <w:rFonts w:cstheme="minorHAnsi"/>
          <w:szCs w:val="24"/>
        </w:rPr>
        <w:t>82</w:t>
      </w:r>
      <w:r w:rsidRPr="00C15715">
        <w:rPr>
          <w:rFonts w:cstheme="minorHAnsi"/>
          <w:szCs w:val="24"/>
        </w:rPr>
        <w:t xml:space="preserve">%. Latvijas ETS operatoru radītais SEG emisiju apjoms 2017. gadā bija 2 049,8 </w:t>
      </w:r>
      <w:proofErr w:type="spellStart"/>
      <w:r w:rsidRPr="00C15715">
        <w:rPr>
          <w:rFonts w:cstheme="minorHAnsi"/>
          <w:szCs w:val="24"/>
        </w:rPr>
        <w:t>kt</w:t>
      </w:r>
      <w:proofErr w:type="spellEnd"/>
      <w:r w:rsidRPr="00C15715">
        <w:rPr>
          <w:rFonts w:cstheme="minorHAnsi"/>
          <w:szCs w:val="24"/>
        </w:rPr>
        <w:t xml:space="preserve"> CO</w:t>
      </w:r>
      <w:r w:rsidRPr="00C15715">
        <w:rPr>
          <w:rFonts w:cstheme="minorHAnsi"/>
          <w:szCs w:val="24"/>
          <w:vertAlign w:val="subscript"/>
        </w:rPr>
        <w:t>2</w:t>
      </w:r>
      <w:r w:rsidRPr="00C15715">
        <w:rPr>
          <w:rFonts w:cstheme="minorHAnsi"/>
          <w:szCs w:val="24"/>
        </w:rPr>
        <w:t xml:space="preserve"> </w:t>
      </w:r>
      <w:proofErr w:type="spellStart"/>
      <w:r w:rsidRPr="00C15715">
        <w:rPr>
          <w:rFonts w:cstheme="minorHAnsi"/>
          <w:szCs w:val="24"/>
        </w:rPr>
        <w:t>ekv</w:t>
      </w:r>
      <w:proofErr w:type="spellEnd"/>
      <w:r w:rsidRPr="00C15715">
        <w:rPr>
          <w:rFonts w:cstheme="minorHAnsi"/>
          <w:szCs w:val="24"/>
        </w:rPr>
        <w:t>., bet 2018. gadā – jau 2612,6</w:t>
      </w:r>
      <w:r w:rsidR="005B731C">
        <w:rPr>
          <w:rFonts w:cstheme="minorHAnsi"/>
          <w:szCs w:val="24"/>
        </w:rPr>
        <w:t>0</w:t>
      </w:r>
      <w:r w:rsidRPr="00C15715">
        <w:rPr>
          <w:rFonts w:cstheme="minorHAnsi"/>
          <w:szCs w:val="24"/>
        </w:rPr>
        <w:t xml:space="preserve"> </w:t>
      </w:r>
      <w:proofErr w:type="spellStart"/>
      <w:r w:rsidRPr="00C15715">
        <w:rPr>
          <w:rFonts w:cstheme="minorHAnsi"/>
          <w:szCs w:val="24"/>
        </w:rPr>
        <w:t>kt</w:t>
      </w:r>
      <w:proofErr w:type="spellEnd"/>
      <w:r w:rsidRPr="00C15715">
        <w:rPr>
          <w:rFonts w:cstheme="minorHAnsi"/>
          <w:szCs w:val="24"/>
        </w:rPr>
        <w:t xml:space="preserve"> CO</w:t>
      </w:r>
      <w:r w:rsidRPr="00C15715">
        <w:rPr>
          <w:rFonts w:cstheme="minorHAnsi"/>
          <w:szCs w:val="24"/>
          <w:vertAlign w:val="subscript"/>
        </w:rPr>
        <w:t>2</w:t>
      </w:r>
      <w:r w:rsidRPr="00C15715">
        <w:rPr>
          <w:rFonts w:cstheme="minorHAnsi"/>
          <w:szCs w:val="24"/>
        </w:rPr>
        <w:t xml:space="preserve"> </w:t>
      </w:r>
      <w:proofErr w:type="spellStart"/>
      <w:r w:rsidRPr="00C15715">
        <w:rPr>
          <w:rFonts w:cstheme="minorHAnsi"/>
          <w:szCs w:val="24"/>
        </w:rPr>
        <w:t>ekv</w:t>
      </w:r>
      <w:proofErr w:type="spellEnd"/>
      <w:r w:rsidRPr="00C15715">
        <w:rPr>
          <w:rFonts w:cstheme="minorHAnsi"/>
          <w:szCs w:val="24"/>
        </w:rPr>
        <w:t>. jeb attiecīgi 18,14% vai 22,14% no kopējā Latvijas SEG emisiju apjoma.</w:t>
      </w:r>
    </w:p>
    <w:p w14:paraId="2B07340E" w14:textId="3DE70945" w:rsidR="00D87276" w:rsidRPr="00C15715" w:rsidRDefault="005B731C" w:rsidP="00D87276">
      <w:pPr>
        <w:spacing w:before="120" w:after="120" w:line="240" w:lineRule="auto"/>
        <w:jc w:val="center"/>
        <w:rPr>
          <w:rFonts w:cstheme="minorHAnsi"/>
          <w:szCs w:val="24"/>
        </w:rPr>
      </w:pPr>
      <w:r w:rsidRPr="00E85B28">
        <w:rPr>
          <w:rFonts w:cstheme="minorHAnsi"/>
          <w:noProof/>
          <w:color w:val="FF0000"/>
          <w:szCs w:val="24"/>
          <w:lang w:eastAsia="lv-LV"/>
        </w:rPr>
        <w:drawing>
          <wp:inline distT="0" distB="0" distL="0" distR="0" wp14:anchorId="635B827E" wp14:editId="6FFD70A3">
            <wp:extent cx="4815929" cy="27368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7104" cy="2743201"/>
                    </a:xfrm>
                    <a:prstGeom prst="rect">
                      <a:avLst/>
                    </a:prstGeom>
                    <a:noFill/>
                  </pic:spPr>
                </pic:pic>
              </a:graphicData>
            </a:graphic>
          </wp:inline>
        </w:drawing>
      </w:r>
    </w:p>
    <w:p w14:paraId="4E64C41E" w14:textId="06778A1C"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3</w:t>
      </w:r>
      <w:r w:rsidRPr="00C15715">
        <w:rPr>
          <w:rFonts w:asciiTheme="minorHAnsi" w:hAnsiTheme="minorHAnsi" w:cstheme="minorHAnsi"/>
          <w:noProof/>
        </w:rPr>
        <w:fldChar w:fldCharType="end"/>
      </w:r>
      <w:r w:rsidRPr="00C15715">
        <w:rPr>
          <w:rFonts w:asciiTheme="minorHAnsi" w:hAnsiTheme="minorHAnsi" w:cstheme="minorHAnsi"/>
        </w:rPr>
        <w:t>.attēls. Latvijas ne-ETS darbību un ETS SEG emisiju tendence 2005.-2018.gadā (</w:t>
      </w:r>
      <w:proofErr w:type="spellStart"/>
      <w:r w:rsidRPr="00C15715">
        <w:rPr>
          <w:rFonts w:asciiTheme="minorHAnsi" w:hAnsiTheme="minorHAnsi" w:cstheme="minorHAnsi"/>
        </w:rPr>
        <w:t>kt</w:t>
      </w:r>
      <w:proofErr w:type="spellEnd"/>
      <w:r w:rsidRPr="00C15715">
        <w:rPr>
          <w:rFonts w:asciiTheme="minorHAnsi" w:hAnsiTheme="minorHAnsi" w:cstheme="minorHAnsi"/>
        </w:rPr>
        <w:t xml:space="preserve"> CO</w:t>
      </w:r>
      <w:r w:rsidRPr="00C15715">
        <w:rPr>
          <w:rFonts w:asciiTheme="minorHAnsi" w:hAnsiTheme="minorHAnsi" w:cstheme="minorHAnsi"/>
          <w:vertAlign w:val="subscript"/>
        </w:rPr>
        <w:t>2</w:t>
      </w:r>
      <w:r w:rsidRPr="00C15715">
        <w:rPr>
          <w:rFonts w:asciiTheme="minorHAnsi" w:hAnsiTheme="minorHAnsi" w:cstheme="minorHAnsi"/>
        </w:rPr>
        <w:t xml:space="preserve"> </w:t>
      </w:r>
      <w:proofErr w:type="spellStart"/>
      <w:r w:rsidRPr="00C15715">
        <w:rPr>
          <w:rFonts w:asciiTheme="minorHAnsi" w:hAnsiTheme="minorHAnsi" w:cstheme="minorHAnsi"/>
        </w:rPr>
        <w:t>ekv</w:t>
      </w:r>
      <w:proofErr w:type="spellEnd"/>
      <w:r w:rsidRPr="00C15715">
        <w:rPr>
          <w:rFonts w:asciiTheme="minorHAnsi" w:hAnsiTheme="minorHAnsi" w:cstheme="minorHAnsi"/>
        </w:rPr>
        <w:t>.)</w:t>
      </w:r>
    </w:p>
    <w:p w14:paraId="0AC4943C" w14:textId="3D5A205F" w:rsidR="00D87276" w:rsidRPr="00C15715" w:rsidRDefault="00D87276" w:rsidP="00D87276">
      <w:pPr>
        <w:spacing w:before="120" w:after="120" w:line="240" w:lineRule="auto"/>
        <w:jc w:val="both"/>
        <w:rPr>
          <w:rFonts w:cstheme="minorHAnsi"/>
          <w:szCs w:val="24"/>
        </w:rPr>
      </w:pPr>
      <w:r w:rsidRPr="00C15715">
        <w:rPr>
          <w:rFonts w:cstheme="minorHAnsi"/>
          <w:szCs w:val="24"/>
        </w:rPr>
        <w:t>Ne-ETS darbību SEG emisiju dinamika liecina par emisiju palielinājumu – 8,</w:t>
      </w:r>
      <w:r w:rsidR="005B731C">
        <w:rPr>
          <w:rFonts w:cstheme="minorHAnsi"/>
          <w:szCs w:val="24"/>
        </w:rPr>
        <w:t>09</w:t>
      </w:r>
      <w:r w:rsidRPr="00C15715">
        <w:rPr>
          <w:rFonts w:cstheme="minorHAnsi"/>
          <w:szCs w:val="24"/>
        </w:rPr>
        <w:t>% palielinājums 2005.-2017. gadā un 7,</w:t>
      </w:r>
      <w:r w:rsidR="005B731C">
        <w:rPr>
          <w:rFonts w:cstheme="minorHAnsi"/>
          <w:szCs w:val="24"/>
        </w:rPr>
        <w:t>38</w:t>
      </w:r>
      <w:r w:rsidRPr="00C15715">
        <w:rPr>
          <w:rFonts w:cstheme="minorHAnsi"/>
          <w:szCs w:val="24"/>
        </w:rPr>
        <w:t>% palielinājums 2005.-2018. gadā. Salīdzinot ar 2005.gadu</w:t>
      </w:r>
      <w:r w:rsidR="005B731C">
        <w:rPr>
          <w:rFonts w:cstheme="minorHAnsi"/>
          <w:szCs w:val="24"/>
        </w:rPr>
        <w:t>,</w:t>
      </w:r>
      <w:r w:rsidRPr="00C15715">
        <w:rPr>
          <w:rFonts w:cstheme="minorHAnsi"/>
          <w:szCs w:val="24"/>
        </w:rPr>
        <w:t xml:space="preserve"> Latvijas </w:t>
      </w:r>
      <w:r w:rsidRPr="00C15715">
        <w:rPr>
          <w:rFonts w:cstheme="minorHAnsi"/>
          <w:szCs w:val="24"/>
        </w:rPr>
        <w:lastRenderedPageBreak/>
        <w:t>ETS operatori līdz 2017. gadam bija samazinājuši savas SEG emisijas par 28,19%, savukārt līdz 2018. gadam – tikai par 8,47%.</w:t>
      </w:r>
    </w:p>
    <w:p w14:paraId="32777367" w14:textId="400FA145" w:rsidR="00D87276" w:rsidRDefault="00D87276" w:rsidP="00D87276">
      <w:pPr>
        <w:pStyle w:val="Caption"/>
        <w:rPr>
          <w:rFonts w:asciiTheme="minorHAnsi" w:hAnsiTheme="minorHAnsi" w:cstheme="minorHAnsi"/>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1121B4">
        <w:rPr>
          <w:rFonts w:asciiTheme="minorHAnsi" w:hAnsiTheme="minorHAnsi" w:cstheme="minorHAnsi"/>
          <w:noProof/>
          <w:szCs w:val="24"/>
        </w:rPr>
        <w:t>3</w:t>
      </w:r>
      <w:r w:rsidRPr="00C15715">
        <w:rPr>
          <w:rFonts w:asciiTheme="minorHAnsi" w:hAnsiTheme="minorHAnsi" w:cstheme="minorHAnsi"/>
          <w:szCs w:val="24"/>
        </w:rPr>
        <w:fldChar w:fldCharType="end"/>
      </w:r>
      <w:r w:rsidRPr="00C15715">
        <w:rPr>
          <w:rFonts w:asciiTheme="minorHAnsi" w:hAnsiTheme="minorHAnsi" w:cstheme="minorHAnsi"/>
        </w:rPr>
        <w:t>.tabula. Latvijas ne-ETS darbību SEG emisiju apjoma īpatsvars un izmaiņas 2017.gadā (%)</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4"/>
        <w:gridCol w:w="1650"/>
        <w:gridCol w:w="1551"/>
        <w:gridCol w:w="1462"/>
      </w:tblGrid>
      <w:tr w:rsidR="005B731C" w:rsidRPr="006853D3" w14:paraId="2A6DB350" w14:textId="77777777" w:rsidTr="005B731C">
        <w:trPr>
          <w:trHeight w:val="334"/>
          <w:tblHeader/>
          <w:jc w:val="center"/>
        </w:trPr>
        <w:tc>
          <w:tcPr>
            <w:tcW w:w="3119" w:type="dxa"/>
            <w:vMerge w:val="restart"/>
            <w:shd w:val="clear" w:color="auto" w:fill="D9D9D9" w:themeFill="background1" w:themeFillShade="D9"/>
            <w:vAlign w:val="center"/>
          </w:tcPr>
          <w:p w14:paraId="580BB3B2" w14:textId="77777777" w:rsidR="005B731C" w:rsidRPr="006853D3" w:rsidRDefault="005B731C" w:rsidP="0018794B">
            <w:pPr>
              <w:spacing w:after="0" w:line="240" w:lineRule="auto"/>
              <w:jc w:val="center"/>
              <w:rPr>
                <w:rFonts w:eastAsia="Times New Roman" w:cstheme="minorHAnsi"/>
                <w:b/>
                <w:bCs/>
                <w:color w:val="FF0000"/>
                <w:sz w:val="22"/>
                <w:lang w:eastAsia="lv-LV"/>
              </w:rPr>
            </w:pPr>
            <w:r w:rsidRPr="006853D3">
              <w:rPr>
                <w:rFonts w:eastAsia="Times New Roman" w:cstheme="minorHAnsi"/>
                <w:b/>
                <w:bCs/>
                <w:color w:val="FF0000"/>
                <w:sz w:val="22"/>
                <w:lang w:eastAsia="lv-LV"/>
              </w:rPr>
              <w:t> </w:t>
            </w:r>
          </w:p>
        </w:tc>
        <w:tc>
          <w:tcPr>
            <w:tcW w:w="3214" w:type="dxa"/>
            <w:gridSpan w:val="2"/>
            <w:shd w:val="clear" w:color="auto" w:fill="D9D9D9" w:themeFill="background1" w:themeFillShade="D9"/>
            <w:vAlign w:val="center"/>
          </w:tcPr>
          <w:p w14:paraId="53F985DC" w14:textId="77777777" w:rsidR="005B731C" w:rsidRPr="00026884" w:rsidRDefault="005B731C" w:rsidP="0018794B">
            <w:pPr>
              <w:spacing w:after="0" w:line="240" w:lineRule="auto"/>
              <w:jc w:val="center"/>
              <w:rPr>
                <w:rFonts w:cstheme="minorHAnsi"/>
                <w:b/>
                <w:bCs/>
                <w:sz w:val="22"/>
              </w:rPr>
            </w:pPr>
            <w:r w:rsidRPr="00026884">
              <w:rPr>
                <w:rFonts w:cstheme="minorHAnsi"/>
                <w:b/>
                <w:bCs/>
                <w:sz w:val="22"/>
              </w:rPr>
              <w:t>Īpatsvars 2017.g. (%)</w:t>
            </w:r>
          </w:p>
        </w:tc>
        <w:tc>
          <w:tcPr>
            <w:tcW w:w="3013" w:type="dxa"/>
            <w:gridSpan w:val="2"/>
            <w:shd w:val="clear" w:color="auto" w:fill="D9D9D9" w:themeFill="background1" w:themeFillShade="D9"/>
            <w:vAlign w:val="center"/>
          </w:tcPr>
          <w:p w14:paraId="26912CBA" w14:textId="77777777" w:rsidR="005B731C" w:rsidRPr="00026884" w:rsidRDefault="005B731C" w:rsidP="0018794B">
            <w:pPr>
              <w:spacing w:after="0" w:line="240" w:lineRule="auto"/>
              <w:jc w:val="center"/>
              <w:rPr>
                <w:rFonts w:cstheme="minorHAnsi"/>
                <w:b/>
                <w:bCs/>
                <w:sz w:val="22"/>
              </w:rPr>
            </w:pPr>
            <w:r w:rsidRPr="00026884">
              <w:rPr>
                <w:rFonts w:cstheme="minorHAnsi"/>
                <w:b/>
                <w:bCs/>
                <w:sz w:val="22"/>
              </w:rPr>
              <w:t>Izmaiņas</w:t>
            </w:r>
            <w:r>
              <w:rPr>
                <w:rFonts w:cstheme="minorHAnsi"/>
                <w:b/>
                <w:bCs/>
                <w:sz w:val="22"/>
              </w:rPr>
              <w:t xml:space="preserve"> (%)</w:t>
            </w:r>
          </w:p>
        </w:tc>
      </w:tr>
      <w:tr w:rsidR="005B731C" w:rsidRPr="006853D3" w14:paraId="6939EB0B" w14:textId="77777777" w:rsidTr="005B731C">
        <w:trPr>
          <w:trHeight w:val="645"/>
          <w:tblHeader/>
          <w:jc w:val="center"/>
        </w:trPr>
        <w:tc>
          <w:tcPr>
            <w:tcW w:w="3119" w:type="dxa"/>
            <w:vMerge/>
            <w:shd w:val="clear" w:color="auto" w:fill="D9D9D9" w:themeFill="background1" w:themeFillShade="D9"/>
            <w:vAlign w:val="center"/>
            <w:hideMark/>
          </w:tcPr>
          <w:p w14:paraId="4D84D270" w14:textId="77777777" w:rsidR="005B731C" w:rsidRPr="006853D3" w:rsidRDefault="005B731C" w:rsidP="0018794B">
            <w:pPr>
              <w:spacing w:after="0" w:line="240" w:lineRule="auto"/>
              <w:jc w:val="center"/>
              <w:rPr>
                <w:rFonts w:eastAsia="Times New Roman" w:cstheme="minorHAnsi"/>
                <w:b/>
                <w:bCs/>
                <w:color w:val="FF0000"/>
                <w:sz w:val="22"/>
                <w:lang w:eastAsia="lv-LV"/>
              </w:rPr>
            </w:pPr>
          </w:p>
        </w:tc>
        <w:tc>
          <w:tcPr>
            <w:tcW w:w="1564" w:type="dxa"/>
            <w:shd w:val="clear" w:color="auto" w:fill="D9D9D9" w:themeFill="background1" w:themeFillShade="D9"/>
            <w:vAlign w:val="center"/>
          </w:tcPr>
          <w:p w14:paraId="7B89EC60" w14:textId="77777777" w:rsidR="005B731C" w:rsidRPr="00026884" w:rsidRDefault="005B731C" w:rsidP="0018794B">
            <w:pPr>
              <w:spacing w:after="0" w:line="240" w:lineRule="auto"/>
              <w:jc w:val="center"/>
              <w:rPr>
                <w:rFonts w:cstheme="minorHAnsi"/>
                <w:b/>
                <w:bCs/>
                <w:sz w:val="22"/>
              </w:rPr>
            </w:pPr>
            <w:r w:rsidRPr="00026884">
              <w:rPr>
                <w:rFonts w:cstheme="minorHAnsi"/>
                <w:b/>
                <w:bCs/>
                <w:sz w:val="22"/>
              </w:rPr>
              <w:t>Kopējās SEG emisijās</w:t>
            </w:r>
          </w:p>
        </w:tc>
        <w:tc>
          <w:tcPr>
            <w:tcW w:w="1650" w:type="dxa"/>
            <w:shd w:val="clear" w:color="auto" w:fill="D9D9D9" w:themeFill="background1" w:themeFillShade="D9"/>
            <w:vAlign w:val="center"/>
          </w:tcPr>
          <w:p w14:paraId="753E08F8" w14:textId="77777777" w:rsidR="005B731C" w:rsidRPr="00026884" w:rsidRDefault="005B731C" w:rsidP="0018794B">
            <w:pPr>
              <w:spacing w:after="0" w:line="240" w:lineRule="auto"/>
              <w:jc w:val="center"/>
              <w:rPr>
                <w:rFonts w:cstheme="minorHAnsi"/>
                <w:b/>
                <w:bCs/>
                <w:sz w:val="22"/>
              </w:rPr>
            </w:pPr>
            <w:r w:rsidRPr="00026884">
              <w:rPr>
                <w:rFonts w:cstheme="minorHAnsi"/>
                <w:b/>
                <w:bCs/>
                <w:sz w:val="22"/>
              </w:rPr>
              <w:t>Ne-ETS darbību SEG emisijās</w:t>
            </w:r>
          </w:p>
        </w:tc>
        <w:tc>
          <w:tcPr>
            <w:tcW w:w="1551" w:type="dxa"/>
            <w:shd w:val="clear" w:color="auto" w:fill="D9D9D9" w:themeFill="background1" w:themeFillShade="D9"/>
            <w:vAlign w:val="center"/>
          </w:tcPr>
          <w:p w14:paraId="67EB1A16" w14:textId="77777777" w:rsidR="005B731C" w:rsidRPr="00026884" w:rsidRDefault="005B731C" w:rsidP="0018794B">
            <w:pPr>
              <w:spacing w:after="0" w:line="240" w:lineRule="auto"/>
              <w:jc w:val="center"/>
              <w:rPr>
                <w:rFonts w:eastAsia="Times New Roman" w:cstheme="minorHAnsi"/>
                <w:b/>
                <w:bCs/>
                <w:sz w:val="22"/>
                <w:lang w:eastAsia="lv-LV"/>
              </w:rPr>
            </w:pPr>
            <w:r w:rsidRPr="00026884">
              <w:rPr>
                <w:rFonts w:cstheme="minorHAnsi"/>
                <w:b/>
                <w:bCs/>
                <w:sz w:val="22"/>
              </w:rPr>
              <w:t>2005.-2017.g.</w:t>
            </w:r>
          </w:p>
        </w:tc>
        <w:tc>
          <w:tcPr>
            <w:tcW w:w="1462" w:type="dxa"/>
            <w:shd w:val="clear" w:color="auto" w:fill="D9D9D9" w:themeFill="background1" w:themeFillShade="D9"/>
            <w:vAlign w:val="center"/>
          </w:tcPr>
          <w:p w14:paraId="4154B1E8" w14:textId="77777777" w:rsidR="005B731C" w:rsidRPr="00026884" w:rsidRDefault="005B731C" w:rsidP="0018794B">
            <w:pPr>
              <w:spacing w:after="0" w:line="240" w:lineRule="auto"/>
              <w:jc w:val="center"/>
              <w:rPr>
                <w:rFonts w:eastAsia="Times New Roman" w:cstheme="minorHAnsi"/>
                <w:b/>
                <w:bCs/>
                <w:sz w:val="22"/>
                <w:lang w:eastAsia="lv-LV"/>
              </w:rPr>
            </w:pPr>
            <w:r w:rsidRPr="00026884">
              <w:rPr>
                <w:rFonts w:cstheme="minorHAnsi"/>
                <w:b/>
                <w:bCs/>
                <w:sz w:val="22"/>
              </w:rPr>
              <w:t>2016.-2017.g.</w:t>
            </w:r>
          </w:p>
        </w:tc>
      </w:tr>
      <w:tr w:rsidR="005B731C" w:rsidRPr="006853D3" w14:paraId="618A6E1E" w14:textId="77777777" w:rsidTr="005B731C">
        <w:trPr>
          <w:trHeight w:val="300"/>
          <w:jc w:val="center"/>
        </w:trPr>
        <w:tc>
          <w:tcPr>
            <w:tcW w:w="3119" w:type="dxa"/>
            <w:shd w:val="clear" w:color="auto" w:fill="auto"/>
            <w:vAlign w:val="center"/>
            <w:hideMark/>
          </w:tcPr>
          <w:p w14:paraId="6DFAF60F" w14:textId="77777777" w:rsidR="005B731C" w:rsidRPr="00026884" w:rsidRDefault="005B731C" w:rsidP="0018794B">
            <w:pPr>
              <w:spacing w:after="0" w:line="240" w:lineRule="auto"/>
              <w:rPr>
                <w:rFonts w:eastAsia="Times New Roman" w:cstheme="minorHAnsi"/>
                <w:b/>
                <w:bCs/>
                <w:sz w:val="22"/>
                <w:lang w:eastAsia="lv-LV"/>
              </w:rPr>
            </w:pPr>
            <w:r w:rsidRPr="00026884">
              <w:rPr>
                <w:rFonts w:eastAsia="Times New Roman" w:cstheme="minorHAnsi"/>
                <w:b/>
                <w:bCs/>
                <w:sz w:val="22"/>
                <w:lang w:eastAsia="lv-LV"/>
              </w:rPr>
              <w:t>ETS sektors</w:t>
            </w:r>
          </w:p>
        </w:tc>
        <w:tc>
          <w:tcPr>
            <w:tcW w:w="1564" w:type="dxa"/>
            <w:shd w:val="clear" w:color="auto" w:fill="auto"/>
            <w:vAlign w:val="center"/>
          </w:tcPr>
          <w:p w14:paraId="4FBEA153" w14:textId="77777777" w:rsidR="005B731C" w:rsidRPr="006853D3" w:rsidRDefault="005B731C" w:rsidP="0018794B">
            <w:pPr>
              <w:spacing w:after="0" w:line="240" w:lineRule="auto"/>
              <w:jc w:val="center"/>
              <w:rPr>
                <w:rFonts w:eastAsia="Times New Roman" w:cstheme="minorHAnsi"/>
                <w:b/>
                <w:bCs/>
                <w:color w:val="FF0000"/>
                <w:sz w:val="22"/>
                <w:lang w:eastAsia="lv-LV"/>
              </w:rPr>
            </w:pPr>
            <w:r w:rsidRPr="00026884">
              <w:rPr>
                <w:rFonts w:eastAsia="Times New Roman" w:cstheme="minorHAnsi"/>
                <w:b/>
                <w:bCs/>
                <w:sz w:val="22"/>
                <w:lang w:eastAsia="lv-LV"/>
              </w:rPr>
              <w:t>18,14</w:t>
            </w:r>
          </w:p>
        </w:tc>
        <w:tc>
          <w:tcPr>
            <w:tcW w:w="1650" w:type="dxa"/>
            <w:shd w:val="clear" w:color="auto" w:fill="auto"/>
            <w:vAlign w:val="center"/>
          </w:tcPr>
          <w:p w14:paraId="5F3FBB00" w14:textId="77777777" w:rsidR="005B731C" w:rsidRPr="00026884" w:rsidRDefault="005B731C" w:rsidP="0018794B">
            <w:pPr>
              <w:spacing w:after="0" w:line="240" w:lineRule="auto"/>
              <w:jc w:val="center"/>
              <w:rPr>
                <w:rFonts w:eastAsia="Times New Roman" w:cstheme="minorHAnsi"/>
                <w:b/>
                <w:bCs/>
                <w:sz w:val="22"/>
                <w:lang w:eastAsia="lv-LV"/>
              </w:rPr>
            </w:pPr>
            <w:r w:rsidRPr="00026884">
              <w:rPr>
                <w:rFonts w:eastAsia="Times New Roman" w:cstheme="minorHAnsi"/>
                <w:b/>
                <w:bCs/>
                <w:sz w:val="22"/>
                <w:lang w:eastAsia="lv-LV"/>
              </w:rPr>
              <w:t>-</w:t>
            </w:r>
          </w:p>
        </w:tc>
        <w:tc>
          <w:tcPr>
            <w:tcW w:w="1551" w:type="dxa"/>
            <w:shd w:val="clear" w:color="auto" w:fill="auto"/>
          </w:tcPr>
          <w:p w14:paraId="2AF5E4A4"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026884">
              <w:rPr>
                <w:rFonts w:cstheme="minorHAnsi"/>
                <w:b/>
                <w:bCs/>
                <w:szCs w:val="24"/>
              </w:rPr>
              <w:t>-28,19</w:t>
            </w:r>
          </w:p>
        </w:tc>
        <w:tc>
          <w:tcPr>
            <w:tcW w:w="1462" w:type="dxa"/>
            <w:shd w:val="clear" w:color="auto" w:fill="auto"/>
          </w:tcPr>
          <w:p w14:paraId="365121CC"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026884">
              <w:rPr>
                <w:rFonts w:cstheme="minorHAnsi"/>
                <w:b/>
                <w:bCs/>
                <w:szCs w:val="24"/>
              </w:rPr>
              <w:t>-6,70</w:t>
            </w:r>
          </w:p>
        </w:tc>
      </w:tr>
      <w:tr w:rsidR="005B731C" w:rsidRPr="006853D3" w14:paraId="7E7382A1" w14:textId="77777777" w:rsidTr="005B731C">
        <w:trPr>
          <w:trHeight w:val="300"/>
          <w:jc w:val="center"/>
        </w:trPr>
        <w:tc>
          <w:tcPr>
            <w:tcW w:w="3119" w:type="dxa"/>
            <w:shd w:val="clear" w:color="auto" w:fill="auto"/>
            <w:vAlign w:val="center"/>
            <w:hideMark/>
          </w:tcPr>
          <w:p w14:paraId="16AF5B07" w14:textId="77777777" w:rsidR="005B731C" w:rsidRPr="00026884" w:rsidRDefault="005B731C" w:rsidP="0018794B">
            <w:pPr>
              <w:spacing w:after="0" w:line="240" w:lineRule="auto"/>
              <w:ind w:firstLine="179"/>
              <w:rPr>
                <w:rFonts w:eastAsia="Times New Roman" w:cstheme="minorHAnsi"/>
                <w:sz w:val="22"/>
                <w:lang w:eastAsia="lv-LV"/>
              </w:rPr>
            </w:pPr>
            <w:r w:rsidRPr="00026884">
              <w:rPr>
                <w:rFonts w:eastAsia="Times New Roman" w:cstheme="minorHAnsi"/>
                <w:sz w:val="22"/>
                <w:lang w:eastAsia="lv-LV"/>
              </w:rPr>
              <w:t>ETS enerģētika</w:t>
            </w:r>
          </w:p>
        </w:tc>
        <w:tc>
          <w:tcPr>
            <w:tcW w:w="1564" w:type="dxa"/>
            <w:shd w:val="clear" w:color="auto" w:fill="auto"/>
            <w:vAlign w:val="center"/>
          </w:tcPr>
          <w:p w14:paraId="6043E51F" w14:textId="77777777" w:rsidR="005B731C" w:rsidRPr="00026884" w:rsidRDefault="005B731C" w:rsidP="0018794B">
            <w:pPr>
              <w:spacing w:after="0" w:line="240" w:lineRule="auto"/>
              <w:jc w:val="center"/>
              <w:rPr>
                <w:rFonts w:cstheme="minorHAnsi"/>
                <w:sz w:val="22"/>
              </w:rPr>
            </w:pPr>
            <w:r w:rsidRPr="00026884">
              <w:rPr>
                <w:rFonts w:cstheme="minorHAnsi"/>
                <w:sz w:val="22"/>
              </w:rPr>
              <w:t>14,04</w:t>
            </w:r>
          </w:p>
        </w:tc>
        <w:tc>
          <w:tcPr>
            <w:tcW w:w="1650" w:type="dxa"/>
            <w:shd w:val="clear" w:color="auto" w:fill="auto"/>
            <w:vAlign w:val="center"/>
          </w:tcPr>
          <w:p w14:paraId="27B9BE57" w14:textId="77777777" w:rsidR="005B731C" w:rsidRPr="00026884" w:rsidRDefault="005B731C" w:rsidP="0018794B">
            <w:pPr>
              <w:spacing w:after="0" w:line="240" w:lineRule="auto"/>
              <w:jc w:val="center"/>
              <w:rPr>
                <w:rFonts w:eastAsia="Times New Roman" w:cstheme="minorHAnsi"/>
                <w:sz w:val="22"/>
                <w:lang w:eastAsia="lv-LV"/>
              </w:rPr>
            </w:pPr>
            <w:r w:rsidRPr="00026884">
              <w:rPr>
                <w:rFonts w:eastAsia="Times New Roman" w:cstheme="minorHAnsi"/>
                <w:sz w:val="22"/>
                <w:lang w:eastAsia="lv-LV"/>
              </w:rPr>
              <w:t>-</w:t>
            </w:r>
          </w:p>
        </w:tc>
        <w:tc>
          <w:tcPr>
            <w:tcW w:w="1551" w:type="dxa"/>
            <w:shd w:val="clear" w:color="auto" w:fill="auto"/>
          </w:tcPr>
          <w:p w14:paraId="1BC7CE8C" w14:textId="77777777" w:rsidR="005B731C" w:rsidRPr="006853D3" w:rsidRDefault="005B731C" w:rsidP="0018794B">
            <w:pPr>
              <w:spacing w:after="0" w:line="240" w:lineRule="auto"/>
              <w:jc w:val="center"/>
              <w:rPr>
                <w:rFonts w:eastAsia="Times New Roman" w:cstheme="minorHAnsi"/>
                <w:color w:val="FF0000"/>
                <w:szCs w:val="24"/>
                <w:lang w:eastAsia="lv-LV"/>
              </w:rPr>
            </w:pPr>
            <w:r w:rsidRPr="00026884">
              <w:rPr>
                <w:rFonts w:cstheme="minorHAnsi"/>
                <w:szCs w:val="24"/>
              </w:rPr>
              <w:t>-39,64</w:t>
            </w:r>
          </w:p>
        </w:tc>
        <w:tc>
          <w:tcPr>
            <w:tcW w:w="1462" w:type="dxa"/>
            <w:shd w:val="clear" w:color="auto" w:fill="auto"/>
          </w:tcPr>
          <w:p w14:paraId="5B4B9A83" w14:textId="77777777" w:rsidR="005B731C" w:rsidRPr="006853D3" w:rsidRDefault="005B731C" w:rsidP="0018794B">
            <w:pPr>
              <w:spacing w:after="0" w:line="240" w:lineRule="auto"/>
              <w:jc w:val="center"/>
              <w:rPr>
                <w:rFonts w:eastAsia="Times New Roman" w:cstheme="minorHAnsi"/>
                <w:color w:val="FF0000"/>
                <w:szCs w:val="24"/>
                <w:lang w:eastAsia="lv-LV"/>
              </w:rPr>
            </w:pPr>
            <w:r w:rsidRPr="00026884">
              <w:rPr>
                <w:rFonts w:cstheme="minorHAnsi"/>
                <w:szCs w:val="24"/>
              </w:rPr>
              <w:t>-13,18</w:t>
            </w:r>
          </w:p>
        </w:tc>
      </w:tr>
      <w:tr w:rsidR="005B731C" w:rsidRPr="006853D3" w14:paraId="66BC3AF0" w14:textId="77777777" w:rsidTr="005B731C">
        <w:trPr>
          <w:trHeight w:val="315"/>
          <w:jc w:val="center"/>
        </w:trPr>
        <w:tc>
          <w:tcPr>
            <w:tcW w:w="3119" w:type="dxa"/>
            <w:shd w:val="clear" w:color="auto" w:fill="auto"/>
            <w:vAlign w:val="center"/>
            <w:hideMark/>
          </w:tcPr>
          <w:p w14:paraId="30676209" w14:textId="77777777" w:rsidR="005B731C" w:rsidRPr="00026884" w:rsidRDefault="005B731C" w:rsidP="0018794B">
            <w:pPr>
              <w:spacing w:after="0" w:line="240" w:lineRule="auto"/>
              <w:ind w:firstLine="179"/>
              <w:rPr>
                <w:rFonts w:eastAsia="Times New Roman" w:cstheme="minorHAnsi"/>
                <w:sz w:val="22"/>
                <w:lang w:eastAsia="lv-LV"/>
              </w:rPr>
            </w:pPr>
            <w:r w:rsidRPr="00026884">
              <w:rPr>
                <w:rFonts w:eastAsia="Times New Roman" w:cstheme="minorHAnsi"/>
                <w:sz w:val="22"/>
                <w:lang w:eastAsia="lv-LV"/>
              </w:rPr>
              <w:t>ETS rūpnieciskie procesi</w:t>
            </w:r>
          </w:p>
        </w:tc>
        <w:tc>
          <w:tcPr>
            <w:tcW w:w="1564" w:type="dxa"/>
            <w:shd w:val="clear" w:color="auto" w:fill="auto"/>
            <w:vAlign w:val="center"/>
          </w:tcPr>
          <w:p w14:paraId="0928BD61" w14:textId="77777777" w:rsidR="005B731C" w:rsidRPr="00026884" w:rsidRDefault="005B731C" w:rsidP="0018794B">
            <w:pPr>
              <w:spacing w:after="0" w:line="240" w:lineRule="auto"/>
              <w:jc w:val="center"/>
              <w:rPr>
                <w:rFonts w:cstheme="minorHAnsi"/>
                <w:sz w:val="22"/>
              </w:rPr>
            </w:pPr>
            <w:r w:rsidRPr="00026884">
              <w:rPr>
                <w:rFonts w:cstheme="minorHAnsi"/>
                <w:sz w:val="22"/>
              </w:rPr>
              <w:t>4,11</w:t>
            </w:r>
          </w:p>
        </w:tc>
        <w:tc>
          <w:tcPr>
            <w:tcW w:w="1650" w:type="dxa"/>
            <w:shd w:val="clear" w:color="auto" w:fill="auto"/>
            <w:vAlign w:val="center"/>
          </w:tcPr>
          <w:p w14:paraId="7AF5D800" w14:textId="77777777" w:rsidR="005B731C" w:rsidRPr="00026884" w:rsidRDefault="005B731C" w:rsidP="0018794B">
            <w:pPr>
              <w:spacing w:after="0" w:line="240" w:lineRule="auto"/>
              <w:jc w:val="center"/>
              <w:rPr>
                <w:rFonts w:eastAsia="Times New Roman" w:cstheme="minorHAnsi"/>
                <w:sz w:val="22"/>
                <w:lang w:eastAsia="lv-LV"/>
              </w:rPr>
            </w:pPr>
            <w:r w:rsidRPr="00026884">
              <w:rPr>
                <w:rFonts w:eastAsia="Times New Roman" w:cstheme="minorHAnsi"/>
                <w:sz w:val="22"/>
                <w:lang w:eastAsia="lv-LV"/>
              </w:rPr>
              <w:t>-</w:t>
            </w:r>
          </w:p>
        </w:tc>
        <w:tc>
          <w:tcPr>
            <w:tcW w:w="1551" w:type="dxa"/>
            <w:shd w:val="clear" w:color="auto" w:fill="auto"/>
          </w:tcPr>
          <w:p w14:paraId="446C66D2" w14:textId="77777777" w:rsidR="005B731C" w:rsidRPr="006853D3" w:rsidRDefault="005B731C" w:rsidP="0018794B">
            <w:pPr>
              <w:spacing w:after="0" w:line="240" w:lineRule="auto"/>
              <w:jc w:val="center"/>
              <w:rPr>
                <w:rFonts w:eastAsia="Times New Roman" w:cstheme="minorHAnsi"/>
                <w:color w:val="FF0000"/>
                <w:szCs w:val="24"/>
                <w:lang w:eastAsia="lv-LV"/>
              </w:rPr>
            </w:pPr>
            <w:r w:rsidRPr="00026884">
              <w:rPr>
                <w:rFonts w:cstheme="minorHAnsi"/>
                <w:szCs w:val="24"/>
              </w:rPr>
              <w:t>104,11</w:t>
            </w:r>
          </w:p>
        </w:tc>
        <w:tc>
          <w:tcPr>
            <w:tcW w:w="1462" w:type="dxa"/>
            <w:shd w:val="clear" w:color="auto" w:fill="auto"/>
          </w:tcPr>
          <w:p w14:paraId="0DB152A5" w14:textId="77777777" w:rsidR="005B731C" w:rsidRPr="006853D3" w:rsidRDefault="005B731C" w:rsidP="0018794B">
            <w:pPr>
              <w:spacing w:after="0" w:line="240" w:lineRule="auto"/>
              <w:jc w:val="center"/>
              <w:rPr>
                <w:rFonts w:eastAsia="Times New Roman" w:cstheme="minorHAnsi"/>
                <w:color w:val="FF0000"/>
                <w:szCs w:val="24"/>
                <w:lang w:eastAsia="lv-LV"/>
              </w:rPr>
            </w:pPr>
            <w:r w:rsidRPr="00026884">
              <w:rPr>
                <w:rFonts w:cstheme="minorHAnsi"/>
                <w:szCs w:val="24"/>
              </w:rPr>
              <w:t>25,23</w:t>
            </w:r>
          </w:p>
        </w:tc>
      </w:tr>
      <w:tr w:rsidR="005B731C" w:rsidRPr="006853D3" w14:paraId="48A1A8F4" w14:textId="77777777" w:rsidTr="005B731C">
        <w:trPr>
          <w:trHeight w:val="300"/>
          <w:jc w:val="center"/>
        </w:trPr>
        <w:tc>
          <w:tcPr>
            <w:tcW w:w="3119" w:type="dxa"/>
            <w:shd w:val="clear" w:color="auto" w:fill="auto"/>
            <w:vAlign w:val="center"/>
          </w:tcPr>
          <w:p w14:paraId="5E2DEF77" w14:textId="77777777" w:rsidR="005B731C" w:rsidRPr="006853D3" w:rsidRDefault="005B731C" w:rsidP="0018794B">
            <w:pPr>
              <w:spacing w:after="0" w:line="240" w:lineRule="auto"/>
              <w:rPr>
                <w:rFonts w:eastAsia="Times New Roman" w:cstheme="minorHAnsi"/>
                <w:b/>
                <w:bCs/>
                <w:color w:val="FF0000"/>
                <w:szCs w:val="24"/>
                <w:lang w:eastAsia="lv-LV"/>
              </w:rPr>
            </w:pPr>
            <w:r w:rsidRPr="00F60E98">
              <w:rPr>
                <w:rFonts w:eastAsia="Times New Roman" w:cstheme="minorHAnsi"/>
                <w:b/>
                <w:bCs/>
                <w:szCs w:val="24"/>
                <w:lang w:eastAsia="lv-LV"/>
              </w:rPr>
              <w:t>Ne-ETS darbības</w:t>
            </w:r>
          </w:p>
        </w:tc>
        <w:tc>
          <w:tcPr>
            <w:tcW w:w="1564" w:type="dxa"/>
            <w:shd w:val="clear" w:color="auto" w:fill="auto"/>
            <w:vAlign w:val="center"/>
          </w:tcPr>
          <w:p w14:paraId="23487FC0" w14:textId="77777777" w:rsidR="005B731C" w:rsidRPr="006853D3" w:rsidRDefault="005B731C" w:rsidP="0018794B">
            <w:pPr>
              <w:spacing w:after="0" w:line="240" w:lineRule="auto"/>
              <w:jc w:val="center"/>
              <w:rPr>
                <w:rFonts w:cstheme="minorHAnsi"/>
                <w:b/>
                <w:bCs/>
                <w:color w:val="FF0000"/>
                <w:szCs w:val="24"/>
              </w:rPr>
            </w:pPr>
            <w:r>
              <w:rPr>
                <w:rFonts w:cstheme="minorHAnsi"/>
                <w:b/>
                <w:bCs/>
                <w:szCs w:val="24"/>
              </w:rPr>
              <w:t>81,82</w:t>
            </w:r>
          </w:p>
        </w:tc>
        <w:tc>
          <w:tcPr>
            <w:tcW w:w="1650" w:type="dxa"/>
            <w:shd w:val="clear" w:color="auto" w:fill="auto"/>
            <w:vAlign w:val="center"/>
          </w:tcPr>
          <w:p w14:paraId="2F59A239" w14:textId="77777777" w:rsidR="005B731C" w:rsidRPr="006853D3" w:rsidRDefault="005B731C" w:rsidP="0018794B">
            <w:pPr>
              <w:spacing w:after="0" w:line="240" w:lineRule="auto"/>
              <w:jc w:val="center"/>
              <w:rPr>
                <w:rFonts w:cstheme="minorHAnsi"/>
                <w:b/>
                <w:bCs/>
                <w:color w:val="FF0000"/>
                <w:szCs w:val="24"/>
              </w:rPr>
            </w:pPr>
            <w:r w:rsidRPr="00383E0B">
              <w:rPr>
                <w:rFonts w:cstheme="minorHAnsi"/>
                <w:b/>
                <w:bCs/>
                <w:szCs w:val="24"/>
              </w:rPr>
              <w:t>100</w:t>
            </w:r>
          </w:p>
        </w:tc>
        <w:tc>
          <w:tcPr>
            <w:tcW w:w="1551" w:type="dxa"/>
            <w:shd w:val="clear" w:color="auto" w:fill="auto"/>
            <w:vAlign w:val="center"/>
          </w:tcPr>
          <w:p w14:paraId="1CB12466" w14:textId="77777777" w:rsidR="005B731C" w:rsidRPr="00F60E98" w:rsidRDefault="005B731C" w:rsidP="0018794B">
            <w:pPr>
              <w:spacing w:after="0" w:line="240" w:lineRule="auto"/>
              <w:jc w:val="center"/>
              <w:rPr>
                <w:rFonts w:cstheme="minorHAnsi"/>
                <w:b/>
                <w:bCs/>
                <w:szCs w:val="24"/>
              </w:rPr>
            </w:pPr>
            <w:r w:rsidRPr="00F60E98">
              <w:rPr>
                <w:rFonts w:cstheme="minorHAnsi"/>
                <w:b/>
                <w:bCs/>
                <w:szCs w:val="24"/>
              </w:rPr>
              <w:t>8,09</w:t>
            </w:r>
          </w:p>
        </w:tc>
        <w:tc>
          <w:tcPr>
            <w:tcW w:w="1462" w:type="dxa"/>
            <w:shd w:val="clear" w:color="auto" w:fill="auto"/>
            <w:vAlign w:val="center"/>
          </w:tcPr>
          <w:p w14:paraId="52CE1FAA" w14:textId="77777777" w:rsidR="005B731C" w:rsidRPr="00F60E98" w:rsidRDefault="005B731C" w:rsidP="0018794B">
            <w:pPr>
              <w:spacing w:after="0" w:line="240" w:lineRule="auto"/>
              <w:jc w:val="center"/>
              <w:rPr>
                <w:rFonts w:cstheme="minorHAnsi"/>
                <w:b/>
                <w:bCs/>
                <w:szCs w:val="24"/>
              </w:rPr>
            </w:pPr>
            <w:r w:rsidRPr="00F60E98">
              <w:rPr>
                <w:rFonts w:cstheme="minorHAnsi"/>
                <w:b/>
                <w:bCs/>
                <w:szCs w:val="24"/>
              </w:rPr>
              <w:t>1,71</w:t>
            </w:r>
          </w:p>
        </w:tc>
      </w:tr>
      <w:tr w:rsidR="005B731C" w:rsidRPr="006853D3" w14:paraId="08EE532E" w14:textId="77777777" w:rsidTr="005B731C">
        <w:trPr>
          <w:trHeight w:val="300"/>
          <w:jc w:val="center"/>
        </w:trPr>
        <w:tc>
          <w:tcPr>
            <w:tcW w:w="3119" w:type="dxa"/>
            <w:shd w:val="clear" w:color="auto" w:fill="auto"/>
            <w:vAlign w:val="center"/>
            <w:hideMark/>
          </w:tcPr>
          <w:p w14:paraId="7CDB7D91" w14:textId="77777777" w:rsidR="005B731C" w:rsidRPr="00236654" w:rsidRDefault="005B731C" w:rsidP="0018794B">
            <w:pPr>
              <w:spacing w:after="0" w:line="240" w:lineRule="auto"/>
              <w:rPr>
                <w:rFonts w:eastAsia="Times New Roman" w:cstheme="minorHAnsi"/>
                <w:b/>
                <w:bCs/>
                <w:szCs w:val="24"/>
                <w:lang w:eastAsia="lv-LV"/>
              </w:rPr>
            </w:pPr>
            <w:r w:rsidRPr="00236654">
              <w:rPr>
                <w:rFonts w:eastAsia="Times New Roman" w:cstheme="minorHAnsi"/>
                <w:b/>
                <w:bCs/>
                <w:szCs w:val="24"/>
                <w:lang w:eastAsia="lv-LV"/>
              </w:rPr>
              <w:t>ne-ETS enerģētika</w:t>
            </w:r>
          </w:p>
        </w:tc>
        <w:tc>
          <w:tcPr>
            <w:tcW w:w="1564" w:type="dxa"/>
            <w:shd w:val="clear" w:color="auto" w:fill="auto"/>
            <w:vAlign w:val="center"/>
          </w:tcPr>
          <w:p w14:paraId="0B6D1738" w14:textId="77777777" w:rsidR="005B731C" w:rsidRPr="006853D3" w:rsidRDefault="005B731C" w:rsidP="0018794B">
            <w:pPr>
              <w:spacing w:after="0" w:line="240" w:lineRule="auto"/>
              <w:jc w:val="center"/>
              <w:rPr>
                <w:rFonts w:cstheme="minorHAnsi"/>
                <w:b/>
                <w:bCs/>
                <w:color w:val="FF0000"/>
                <w:szCs w:val="24"/>
              </w:rPr>
            </w:pPr>
            <w:r w:rsidRPr="00236654">
              <w:rPr>
                <w:rFonts w:cstheme="minorHAnsi"/>
                <w:b/>
                <w:bCs/>
                <w:szCs w:val="24"/>
              </w:rPr>
              <w:t>50,05</w:t>
            </w:r>
          </w:p>
        </w:tc>
        <w:tc>
          <w:tcPr>
            <w:tcW w:w="1650" w:type="dxa"/>
            <w:shd w:val="clear" w:color="auto" w:fill="auto"/>
            <w:vAlign w:val="center"/>
          </w:tcPr>
          <w:p w14:paraId="7320766A" w14:textId="77777777" w:rsidR="005B731C" w:rsidRPr="006853D3" w:rsidRDefault="005B731C" w:rsidP="0018794B">
            <w:pPr>
              <w:spacing w:after="0" w:line="240" w:lineRule="auto"/>
              <w:jc w:val="center"/>
              <w:rPr>
                <w:rFonts w:cstheme="minorHAnsi"/>
                <w:b/>
                <w:bCs/>
                <w:color w:val="FF0000"/>
                <w:szCs w:val="24"/>
              </w:rPr>
            </w:pPr>
            <w:r w:rsidRPr="00236654">
              <w:rPr>
                <w:rFonts w:cstheme="minorHAnsi"/>
                <w:b/>
                <w:bCs/>
                <w:szCs w:val="24"/>
              </w:rPr>
              <w:t>61,17</w:t>
            </w:r>
          </w:p>
        </w:tc>
        <w:tc>
          <w:tcPr>
            <w:tcW w:w="1551" w:type="dxa"/>
            <w:shd w:val="clear" w:color="auto" w:fill="auto"/>
            <w:vAlign w:val="center"/>
          </w:tcPr>
          <w:p w14:paraId="3F6BADC1" w14:textId="77777777" w:rsidR="005B731C" w:rsidRPr="003B5894" w:rsidRDefault="005B731C" w:rsidP="0018794B">
            <w:pPr>
              <w:spacing w:after="0" w:line="240" w:lineRule="auto"/>
              <w:jc w:val="center"/>
              <w:rPr>
                <w:rFonts w:eastAsia="Times New Roman" w:cstheme="minorHAnsi"/>
                <w:b/>
                <w:bCs/>
                <w:szCs w:val="24"/>
                <w:lang w:eastAsia="lv-LV"/>
              </w:rPr>
            </w:pPr>
            <w:r w:rsidRPr="003B5894">
              <w:rPr>
                <w:rFonts w:cstheme="minorHAnsi"/>
                <w:b/>
                <w:bCs/>
                <w:szCs w:val="24"/>
              </w:rPr>
              <w:t>3,83</w:t>
            </w:r>
          </w:p>
        </w:tc>
        <w:tc>
          <w:tcPr>
            <w:tcW w:w="1462" w:type="dxa"/>
            <w:shd w:val="clear" w:color="auto" w:fill="auto"/>
            <w:vAlign w:val="center"/>
          </w:tcPr>
          <w:p w14:paraId="20F598A9" w14:textId="77777777" w:rsidR="005B731C" w:rsidRPr="003B5894" w:rsidRDefault="005B731C" w:rsidP="0018794B">
            <w:pPr>
              <w:spacing w:after="0" w:line="240" w:lineRule="auto"/>
              <w:jc w:val="center"/>
              <w:rPr>
                <w:rFonts w:eastAsia="Times New Roman" w:cstheme="minorHAnsi"/>
                <w:b/>
                <w:bCs/>
                <w:szCs w:val="24"/>
                <w:lang w:eastAsia="lv-LV"/>
              </w:rPr>
            </w:pPr>
            <w:r w:rsidRPr="003B5894">
              <w:rPr>
                <w:rFonts w:cstheme="minorHAnsi"/>
                <w:b/>
                <w:bCs/>
                <w:szCs w:val="24"/>
              </w:rPr>
              <w:t>4,03</w:t>
            </w:r>
          </w:p>
        </w:tc>
      </w:tr>
      <w:tr w:rsidR="005B731C" w:rsidRPr="006853D3" w14:paraId="46FEC5F5" w14:textId="77777777" w:rsidTr="005B731C">
        <w:trPr>
          <w:trHeight w:val="300"/>
          <w:jc w:val="center"/>
        </w:trPr>
        <w:tc>
          <w:tcPr>
            <w:tcW w:w="3119" w:type="dxa"/>
            <w:shd w:val="clear" w:color="auto" w:fill="auto"/>
            <w:noWrap/>
            <w:vAlign w:val="center"/>
            <w:hideMark/>
          </w:tcPr>
          <w:p w14:paraId="39F9BFA3" w14:textId="77777777" w:rsidR="005B731C" w:rsidRPr="00236654" w:rsidRDefault="005B731C" w:rsidP="0018794B">
            <w:pPr>
              <w:spacing w:after="0" w:line="240" w:lineRule="auto"/>
              <w:ind w:firstLine="179"/>
              <w:rPr>
                <w:rFonts w:eastAsia="Times New Roman" w:cstheme="minorHAnsi"/>
                <w:bCs/>
                <w:szCs w:val="24"/>
                <w:lang w:eastAsia="lv-LV"/>
              </w:rPr>
            </w:pPr>
            <w:r w:rsidRPr="00236654">
              <w:rPr>
                <w:rFonts w:eastAsia="Times New Roman" w:cstheme="minorHAnsi"/>
                <w:bCs/>
                <w:szCs w:val="24"/>
                <w:lang w:eastAsia="lv-LV"/>
              </w:rPr>
              <w:t>transports</w:t>
            </w:r>
          </w:p>
        </w:tc>
        <w:tc>
          <w:tcPr>
            <w:tcW w:w="1564" w:type="dxa"/>
            <w:shd w:val="clear" w:color="auto" w:fill="auto"/>
            <w:vAlign w:val="center"/>
          </w:tcPr>
          <w:p w14:paraId="3D39A555" w14:textId="77777777" w:rsidR="005B731C" w:rsidRPr="006853D3" w:rsidRDefault="005B731C" w:rsidP="0018794B">
            <w:pPr>
              <w:spacing w:after="0" w:line="240" w:lineRule="auto"/>
              <w:jc w:val="center"/>
              <w:rPr>
                <w:rFonts w:cstheme="minorHAnsi"/>
                <w:color w:val="FF0000"/>
                <w:szCs w:val="24"/>
              </w:rPr>
            </w:pPr>
            <w:r w:rsidRPr="00E441FB">
              <w:rPr>
                <w:rFonts w:cstheme="minorHAnsi"/>
                <w:szCs w:val="24"/>
              </w:rPr>
              <w:t>29,39</w:t>
            </w:r>
          </w:p>
        </w:tc>
        <w:tc>
          <w:tcPr>
            <w:tcW w:w="1650" w:type="dxa"/>
            <w:shd w:val="clear" w:color="auto" w:fill="auto"/>
            <w:vAlign w:val="center"/>
          </w:tcPr>
          <w:p w14:paraId="678894E7" w14:textId="77777777" w:rsidR="005B731C" w:rsidRPr="006853D3" w:rsidRDefault="005B731C" w:rsidP="0018794B">
            <w:pPr>
              <w:spacing w:after="0" w:line="240" w:lineRule="auto"/>
              <w:jc w:val="center"/>
              <w:rPr>
                <w:rFonts w:cstheme="minorHAnsi"/>
                <w:color w:val="FF0000"/>
                <w:szCs w:val="24"/>
              </w:rPr>
            </w:pPr>
            <w:r w:rsidRPr="00236654">
              <w:rPr>
                <w:rFonts w:cstheme="minorHAnsi"/>
                <w:szCs w:val="24"/>
              </w:rPr>
              <w:t>35,93</w:t>
            </w:r>
          </w:p>
        </w:tc>
        <w:tc>
          <w:tcPr>
            <w:tcW w:w="1551" w:type="dxa"/>
            <w:shd w:val="clear" w:color="auto" w:fill="auto"/>
            <w:vAlign w:val="center"/>
          </w:tcPr>
          <w:p w14:paraId="7DC558C0"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3B5894">
              <w:rPr>
                <w:rFonts w:cstheme="minorHAnsi"/>
                <w:szCs w:val="24"/>
              </w:rPr>
              <w:t>6,90</w:t>
            </w:r>
          </w:p>
        </w:tc>
        <w:tc>
          <w:tcPr>
            <w:tcW w:w="1462" w:type="dxa"/>
            <w:shd w:val="clear" w:color="auto" w:fill="auto"/>
            <w:vAlign w:val="center"/>
          </w:tcPr>
          <w:p w14:paraId="16EAC11A"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3B5894">
              <w:rPr>
                <w:rFonts w:cstheme="minorHAnsi"/>
                <w:szCs w:val="24"/>
              </w:rPr>
              <w:t>4,76</w:t>
            </w:r>
          </w:p>
        </w:tc>
      </w:tr>
      <w:tr w:rsidR="005B731C" w:rsidRPr="006853D3" w14:paraId="057A0D4C" w14:textId="77777777" w:rsidTr="005B731C">
        <w:trPr>
          <w:trHeight w:val="300"/>
          <w:jc w:val="center"/>
        </w:trPr>
        <w:tc>
          <w:tcPr>
            <w:tcW w:w="3119" w:type="dxa"/>
            <w:shd w:val="clear" w:color="auto" w:fill="auto"/>
            <w:vAlign w:val="center"/>
            <w:hideMark/>
          </w:tcPr>
          <w:p w14:paraId="36FD14BB" w14:textId="77777777" w:rsidR="005B731C" w:rsidRPr="00236654" w:rsidRDefault="005B731C" w:rsidP="0018794B">
            <w:pPr>
              <w:spacing w:after="0" w:line="240" w:lineRule="auto"/>
              <w:ind w:firstLine="179"/>
              <w:rPr>
                <w:rFonts w:eastAsia="Times New Roman" w:cstheme="minorHAnsi"/>
                <w:szCs w:val="24"/>
                <w:lang w:eastAsia="lv-LV"/>
              </w:rPr>
            </w:pPr>
            <w:r w:rsidRPr="00236654">
              <w:rPr>
                <w:rFonts w:eastAsia="Times New Roman" w:cstheme="minorHAnsi"/>
                <w:szCs w:val="24"/>
                <w:lang w:eastAsia="lv-LV"/>
              </w:rPr>
              <w:t>mājsaimniecības</w:t>
            </w:r>
          </w:p>
        </w:tc>
        <w:tc>
          <w:tcPr>
            <w:tcW w:w="1564" w:type="dxa"/>
            <w:shd w:val="clear" w:color="auto" w:fill="auto"/>
            <w:vAlign w:val="center"/>
          </w:tcPr>
          <w:p w14:paraId="261123C6" w14:textId="77777777" w:rsidR="005B731C" w:rsidRPr="006853D3" w:rsidRDefault="005B731C" w:rsidP="0018794B">
            <w:pPr>
              <w:spacing w:after="0" w:line="240" w:lineRule="auto"/>
              <w:jc w:val="center"/>
              <w:rPr>
                <w:rFonts w:cstheme="minorHAnsi"/>
                <w:color w:val="FF0000"/>
                <w:szCs w:val="24"/>
              </w:rPr>
            </w:pPr>
            <w:r w:rsidRPr="00E441FB">
              <w:rPr>
                <w:rFonts w:cstheme="minorHAnsi"/>
                <w:szCs w:val="24"/>
              </w:rPr>
              <w:t>5,13</w:t>
            </w:r>
          </w:p>
        </w:tc>
        <w:tc>
          <w:tcPr>
            <w:tcW w:w="1650" w:type="dxa"/>
            <w:shd w:val="clear" w:color="auto" w:fill="auto"/>
            <w:vAlign w:val="center"/>
          </w:tcPr>
          <w:p w14:paraId="7A963499" w14:textId="77777777" w:rsidR="005B731C" w:rsidRPr="006853D3" w:rsidRDefault="005B731C" w:rsidP="0018794B">
            <w:pPr>
              <w:spacing w:after="0" w:line="240" w:lineRule="auto"/>
              <w:jc w:val="center"/>
              <w:rPr>
                <w:rFonts w:cstheme="minorHAnsi"/>
                <w:color w:val="FF0000"/>
                <w:szCs w:val="24"/>
              </w:rPr>
            </w:pPr>
            <w:r w:rsidRPr="00236654">
              <w:rPr>
                <w:rFonts w:cstheme="minorHAnsi"/>
                <w:szCs w:val="24"/>
              </w:rPr>
              <w:t>6,28</w:t>
            </w:r>
          </w:p>
        </w:tc>
        <w:tc>
          <w:tcPr>
            <w:tcW w:w="1551" w:type="dxa"/>
            <w:shd w:val="clear" w:color="auto" w:fill="auto"/>
            <w:vAlign w:val="center"/>
          </w:tcPr>
          <w:p w14:paraId="6F6CD155" w14:textId="77777777" w:rsidR="005B731C" w:rsidRPr="003B5894" w:rsidRDefault="005B731C" w:rsidP="0018794B">
            <w:pPr>
              <w:spacing w:after="0" w:line="240" w:lineRule="auto"/>
              <w:jc w:val="center"/>
              <w:rPr>
                <w:rFonts w:eastAsia="Times New Roman" w:cstheme="minorHAnsi"/>
                <w:szCs w:val="24"/>
                <w:lang w:eastAsia="lv-LV"/>
              </w:rPr>
            </w:pPr>
            <w:r w:rsidRPr="003B5894">
              <w:rPr>
                <w:rFonts w:cstheme="minorHAnsi"/>
                <w:szCs w:val="24"/>
              </w:rPr>
              <w:t>-1,58</w:t>
            </w:r>
          </w:p>
        </w:tc>
        <w:tc>
          <w:tcPr>
            <w:tcW w:w="1462" w:type="dxa"/>
            <w:shd w:val="clear" w:color="auto" w:fill="auto"/>
            <w:vAlign w:val="center"/>
          </w:tcPr>
          <w:p w14:paraId="3CA79E8B" w14:textId="77777777" w:rsidR="005B731C" w:rsidRPr="003B5894" w:rsidRDefault="005B731C" w:rsidP="0018794B">
            <w:pPr>
              <w:spacing w:after="0" w:line="240" w:lineRule="auto"/>
              <w:jc w:val="center"/>
              <w:rPr>
                <w:rFonts w:eastAsia="Times New Roman" w:cstheme="minorHAnsi"/>
                <w:szCs w:val="24"/>
                <w:lang w:eastAsia="lv-LV"/>
              </w:rPr>
            </w:pPr>
            <w:r w:rsidRPr="003B5894">
              <w:rPr>
                <w:rFonts w:cstheme="minorHAnsi"/>
                <w:szCs w:val="24"/>
              </w:rPr>
              <w:t>4,21</w:t>
            </w:r>
          </w:p>
        </w:tc>
      </w:tr>
      <w:tr w:rsidR="005B731C" w:rsidRPr="006853D3" w14:paraId="4C545620" w14:textId="77777777" w:rsidTr="005B731C">
        <w:trPr>
          <w:trHeight w:val="300"/>
          <w:jc w:val="center"/>
        </w:trPr>
        <w:tc>
          <w:tcPr>
            <w:tcW w:w="3119" w:type="dxa"/>
            <w:shd w:val="clear" w:color="auto" w:fill="auto"/>
            <w:noWrap/>
            <w:vAlign w:val="center"/>
            <w:hideMark/>
          </w:tcPr>
          <w:p w14:paraId="365CC512" w14:textId="77777777" w:rsidR="005B731C" w:rsidRPr="00236654" w:rsidRDefault="005B731C" w:rsidP="0018794B">
            <w:pPr>
              <w:spacing w:after="0" w:line="240" w:lineRule="auto"/>
              <w:ind w:firstLine="179"/>
              <w:rPr>
                <w:rFonts w:eastAsia="Times New Roman" w:cstheme="minorHAnsi"/>
                <w:bCs/>
                <w:szCs w:val="24"/>
                <w:lang w:eastAsia="lv-LV"/>
              </w:rPr>
            </w:pPr>
            <w:r w:rsidRPr="00236654">
              <w:rPr>
                <w:rFonts w:eastAsia="Times New Roman" w:cstheme="minorHAnsi"/>
                <w:szCs w:val="24"/>
                <w:lang w:eastAsia="lv-LV"/>
              </w:rPr>
              <w:t>cita</w:t>
            </w:r>
            <w:r w:rsidRPr="00236654">
              <w:rPr>
                <w:rFonts w:eastAsia="Times New Roman" w:cstheme="minorHAnsi"/>
                <w:bCs/>
                <w:szCs w:val="24"/>
                <w:lang w:eastAsia="lv-LV"/>
              </w:rPr>
              <w:t xml:space="preserve"> ne-ETS enerģētika</w:t>
            </w:r>
          </w:p>
        </w:tc>
        <w:tc>
          <w:tcPr>
            <w:tcW w:w="1564" w:type="dxa"/>
            <w:shd w:val="clear" w:color="auto" w:fill="auto"/>
            <w:vAlign w:val="center"/>
          </w:tcPr>
          <w:p w14:paraId="200120AD" w14:textId="77777777" w:rsidR="005B731C" w:rsidRPr="006853D3" w:rsidRDefault="005B731C" w:rsidP="0018794B">
            <w:pPr>
              <w:spacing w:after="0" w:line="240" w:lineRule="auto"/>
              <w:jc w:val="center"/>
              <w:rPr>
                <w:rFonts w:cstheme="minorHAnsi"/>
                <w:color w:val="FF0000"/>
                <w:szCs w:val="24"/>
              </w:rPr>
            </w:pPr>
            <w:r w:rsidRPr="00236654">
              <w:rPr>
                <w:rFonts w:cstheme="minorHAnsi"/>
                <w:szCs w:val="24"/>
              </w:rPr>
              <w:t>15,52</w:t>
            </w:r>
          </w:p>
        </w:tc>
        <w:tc>
          <w:tcPr>
            <w:tcW w:w="1650" w:type="dxa"/>
            <w:shd w:val="clear" w:color="auto" w:fill="auto"/>
            <w:vAlign w:val="center"/>
          </w:tcPr>
          <w:p w14:paraId="664F5E38" w14:textId="77777777" w:rsidR="005B731C" w:rsidRPr="006853D3" w:rsidRDefault="005B731C" w:rsidP="0018794B">
            <w:pPr>
              <w:spacing w:after="0" w:line="240" w:lineRule="auto"/>
              <w:jc w:val="center"/>
              <w:rPr>
                <w:rFonts w:cstheme="minorHAnsi"/>
                <w:color w:val="FF0000"/>
                <w:szCs w:val="24"/>
              </w:rPr>
            </w:pPr>
            <w:r w:rsidRPr="00236654">
              <w:rPr>
                <w:rFonts w:cstheme="minorHAnsi"/>
                <w:szCs w:val="24"/>
              </w:rPr>
              <w:t>18,97</w:t>
            </w:r>
          </w:p>
        </w:tc>
        <w:tc>
          <w:tcPr>
            <w:tcW w:w="1551" w:type="dxa"/>
            <w:shd w:val="clear" w:color="auto" w:fill="auto"/>
            <w:vAlign w:val="center"/>
          </w:tcPr>
          <w:p w14:paraId="0DDE6E3A" w14:textId="77777777" w:rsidR="005B731C" w:rsidRPr="003B5894" w:rsidRDefault="005B731C" w:rsidP="0018794B">
            <w:pPr>
              <w:spacing w:after="0" w:line="240" w:lineRule="auto"/>
              <w:jc w:val="center"/>
              <w:rPr>
                <w:rFonts w:eastAsia="Times New Roman" w:cstheme="minorHAnsi"/>
                <w:b/>
                <w:bCs/>
                <w:szCs w:val="24"/>
                <w:lang w:eastAsia="lv-LV"/>
              </w:rPr>
            </w:pPr>
            <w:r w:rsidRPr="003B5894">
              <w:rPr>
                <w:rFonts w:cstheme="minorHAnsi"/>
                <w:szCs w:val="24"/>
              </w:rPr>
              <w:t>0,20</w:t>
            </w:r>
          </w:p>
        </w:tc>
        <w:tc>
          <w:tcPr>
            <w:tcW w:w="1462" w:type="dxa"/>
            <w:shd w:val="clear" w:color="auto" w:fill="auto"/>
            <w:vAlign w:val="center"/>
          </w:tcPr>
          <w:p w14:paraId="29375F6B" w14:textId="77777777" w:rsidR="005B731C" w:rsidRPr="003B5894" w:rsidRDefault="005B731C" w:rsidP="0018794B">
            <w:pPr>
              <w:spacing w:after="0" w:line="240" w:lineRule="auto"/>
              <w:jc w:val="center"/>
              <w:rPr>
                <w:rFonts w:eastAsia="Times New Roman" w:cstheme="minorHAnsi"/>
                <w:b/>
                <w:bCs/>
                <w:szCs w:val="24"/>
                <w:lang w:eastAsia="lv-LV"/>
              </w:rPr>
            </w:pPr>
            <w:r w:rsidRPr="003B5894">
              <w:rPr>
                <w:rFonts w:cstheme="minorHAnsi"/>
                <w:szCs w:val="24"/>
              </w:rPr>
              <w:t>2,61</w:t>
            </w:r>
          </w:p>
        </w:tc>
      </w:tr>
      <w:tr w:rsidR="005B731C" w:rsidRPr="006853D3" w14:paraId="116996C4" w14:textId="77777777" w:rsidTr="005B731C">
        <w:trPr>
          <w:trHeight w:val="300"/>
          <w:jc w:val="center"/>
        </w:trPr>
        <w:tc>
          <w:tcPr>
            <w:tcW w:w="3119" w:type="dxa"/>
            <w:shd w:val="clear" w:color="auto" w:fill="auto"/>
            <w:noWrap/>
            <w:vAlign w:val="center"/>
            <w:hideMark/>
          </w:tcPr>
          <w:p w14:paraId="5A78E3B0" w14:textId="77777777" w:rsidR="005B731C" w:rsidRPr="00E441FB" w:rsidRDefault="005B731C" w:rsidP="0018794B">
            <w:pPr>
              <w:spacing w:after="0" w:line="240" w:lineRule="auto"/>
              <w:rPr>
                <w:rFonts w:eastAsia="Times New Roman" w:cstheme="minorHAnsi"/>
                <w:b/>
                <w:bCs/>
                <w:szCs w:val="24"/>
                <w:lang w:eastAsia="lv-LV"/>
              </w:rPr>
            </w:pPr>
            <w:r w:rsidRPr="00E441FB">
              <w:rPr>
                <w:rFonts w:eastAsia="Times New Roman" w:cstheme="minorHAnsi"/>
                <w:b/>
                <w:bCs/>
                <w:szCs w:val="24"/>
                <w:lang w:eastAsia="lv-LV"/>
              </w:rPr>
              <w:t>ne-ETS rūpnieciskie procesi un ķīmisko vielu izmantošana</w:t>
            </w:r>
          </w:p>
        </w:tc>
        <w:tc>
          <w:tcPr>
            <w:tcW w:w="1564" w:type="dxa"/>
            <w:shd w:val="clear" w:color="auto" w:fill="auto"/>
            <w:vAlign w:val="center"/>
          </w:tcPr>
          <w:p w14:paraId="6AC3BD83" w14:textId="77777777" w:rsidR="005B731C" w:rsidRPr="006853D3" w:rsidRDefault="005B731C" w:rsidP="0018794B">
            <w:pPr>
              <w:spacing w:after="0" w:line="240" w:lineRule="auto"/>
              <w:jc w:val="center"/>
              <w:rPr>
                <w:rFonts w:cstheme="minorHAnsi"/>
                <w:b/>
                <w:bCs/>
                <w:color w:val="FF0000"/>
                <w:szCs w:val="24"/>
              </w:rPr>
            </w:pPr>
            <w:r w:rsidRPr="00734FF8">
              <w:rPr>
                <w:rFonts w:cstheme="minorHAnsi"/>
                <w:b/>
                <w:bCs/>
                <w:szCs w:val="24"/>
              </w:rPr>
              <w:t>2,38</w:t>
            </w:r>
          </w:p>
        </w:tc>
        <w:tc>
          <w:tcPr>
            <w:tcW w:w="1650" w:type="dxa"/>
            <w:shd w:val="clear" w:color="auto" w:fill="auto"/>
            <w:vAlign w:val="center"/>
          </w:tcPr>
          <w:p w14:paraId="724A3DFA" w14:textId="77777777" w:rsidR="005B731C" w:rsidRPr="006853D3" w:rsidRDefault="005B731C" w:rsidP="0018794B">
            <w:pPr>
              <w:spacing w:after="0" w:line="240" w:lineRule="auto"/>
              <w:jc w:val="center"/>
              <w:rPr>
                <w:rFonts w:cstheme="minorHAnsi"/>
                <w:b/>
                <w:bCs/>
                <w:color w:val="FF0000"/>
                <w:szCs w:val="24"/>
              </w:rPr>
            </w:pPr>
            <w:r w:rsidRPr="00E441FB">
              <w:rPr>
                <w:rFonts w:cstheme="minorHAnsi"/>
                <w:b/>
                <w:bCs/>
                <w:szCs w:val="24"/>
              </w:rPr>
              <w:t>2,91</w:t>
            </w:r>
          </w:p>
        </w:tc>
        <w:tc>
          <w:tcPr>
            <w:tcW w:w="1551" w:type="dxa"/>
            <w:shd w:val="clear" w:color="auto" w:fill="auto"/>
            <w:vAlign w:val="center"/>
          </w:tcPr>
          <w:p w14:paraId="25389589" w14:textId="77777777" w:rsidR="005B731C" w:rsidRPr="00734FF8" w:rsidRDefault="005B731C" w:rsidP="0018794B">
            <w:pPr>
              <w:spacing w:after="0" w:line="240" w:lineRule="auto"/>
              <w:jc w:val="center"/>
              <w:rPr>
                <w:rFonts w:eastAsia="Times New Roman" w:cstheme="minorHAnsi"/>
                <w:b/>
                <w:bCs/>
                <w:szCs w:val="24"/>
                <w:lang w:eastAsia="lv-LV"/>
              </w:rPr>
            </w:pPr>
            <w:r w:rsidRPr="00734FF8">
              <w:rPr>
                <w:rFonts w:cstheme="minorHAnsi"/>
                <w:b/>
                <w:bCs/>
                <w:szCs w:val="24"/>
              </w:rPr>
              <w:t>192,28</w:t>
            </w:r>
          </w:p>
        </w:tc>
        <w:tc>
          <w:tcPr>
            <w:tcW w:w="1462" w:type="dxa"/>
            <w:shd w:val="clear" w:color="auto" w:fill="auto"/>
            <w:vAlign w:val="center"/>
          </w:tcPr>
          <w:p w14:paraId="06CD6A09" w14:textId="77777777" w:rsidR="005B731C" w:rsidRPr="00734FF8" w:rsidRDefault="005B731C" w:rsidP="0018794B">
            <w:pPr>
              <w:spacing w:after="0" w:line="240" w:lineRule="auto"/>
              <w:jc w:val="center"/>
              <w:rPr>
                <w:rFonts w:eastAsia="Times New Roman" w:cstheme="minorHAnsi"/>
                <w:b/>
                <w:bCs/>
                <w:szCs w:val="24"/>
                <w:lang w:eastAsia="lv-LV"/>
              </w:rPr>
            </w:pPr>
            <w:r w:rsidRPr="00734FF8">
              <w:rPr>
                <w:rFonts w:cstheme="minorHAnsi"/>
                <w:b/>
                <w:bCs/>
                <w:szCs w:val="24"/>
              </w:rPr>
              <w:t>-5,57</w:t>
            </w:r>
          </w:p>
        </w:tc>
      </w:tr>
      <w:tr w:rsidR="005B731C" w:rsidRPr="006853D3" w14:paraId="7204796C" w14:textId="77777777" w:rsidTr="005B731C">
        <w:trPr>
          <w:trHeight w:val="300"/>
          <w:jc w:val="center"/>
        </w:trPr>
        <w:tc>
          <w:tcPr>
            <w:tcW w:w="3119" w:type="dxa"/>
            <w:shd w:val="clear" w:color="auto" w:fill="auto"/>
            <w:noWrap/>
            <w:vAlign w:val="center"/>
            <w:hideMark/>
          </w:tcPr>
          <w:p w14:paraId="1AC99939" w14:textId="77777777" w:rsidR="005B731C" w:rsidRPr="00E441FB" w:rsidRDefault="005B731C" w:rsidP="0018794B">
            <w:pPr>
              <w:spacing w:after="0" w:line="240" w:lineRule="auto"/>
              <w:rPr>
                <w:rFonts w:eastAsia="Times New Roman" w:cstheme="minorHAnsi"/>
                <w:b/>
                <w:bCs/>
                <w:szCs w:val="24"/>
                <w:lang w:eastAsia="lv-LV"/>
              </w:rPr>
            </w:pPr>
            <w:r w:rsidRPr="00E441FB">
              <w:rPr>
                <w:rFonts w:eastAsia="Times New Roman" w:cstheme="minorHAnsi"/>
                <w:b/>
                <w:bCs/>
                <w:szCs w:val="24"/>
                <w:lang w:eastAsia="lv-LV"/>
              </w:rPr>
              <w:t>lauksaimniecība</w:t>
            </w:r>
          </w:p>
        </w:tc>
        <w:tc>
          <w:tcPr>
            <w:tcW w:w="1564" w:type="dxa"/>
            <w:shd w:val="clear" w:color="auto" w:fill="auto"/>
            <w:vAlign w:val="center"/>
          </w:tcPr>
          <w:p w14:paraId="4307E624" w14:textId="77777777" w:rsidR="005B731C" w:rsidRPr="006853D3" w:rsidRDefault="005B731C" w:rsidP="0018794B">
            <w:pPr>
              <w:spacing w:after="0" w:line="240" w:lineRule="auto"/>
              <w:jc w:val="center"/>
              <w:rPr>
                <w:rFonts w:cstheme="minorHAnsi"/>
                <w:b/>
                <w:bCs/>
                <w:color w:val="FF0000"/>
                <w:szCs w:val="24"/>
              </w:rPr>
            </w:pPr>
            <w:r w:rsidRPr="00734FF8">
              <w:rPr>
                <w:rFonts w:cstheme="minorHAnsi"/>
                <w:b/>
                <w:bCs/>
                <w:szCs w:val="24"/>
              </w:rPr>
              <w:t>24,63</w:t>
            </w:r>
          </w:p>
        </w:tc>
        <w:tc>
          <w:tcPr>
            <w:tcW w:w="1650" w:type="dxa"/>
            <w:shd w:val="clear" w:color="auto" w:fill="auto"/>
            <w:vAlign w:val="center"/>
          </w:tcPr>
          <w:p w14:paraId="2114C307" w14:textId="77777777" w:rsidR="005B731C" w:rsidRPr="006853D3" w:rsidRDefault="005B731C" w:rsidP="0018794B">
            <w:pPr>
              <w:spacing w:after="0" w:line="240" w:lineRule="auto"/>
              <w:jc w:val="center"/>
              <w:rPr>
                <w:rFonts w:cstheme="minorHAnsi"/>
                <w:b/>
                <w:bCs/>
                <w:color w:val="FF0000"/>
                <w:szCs w:val="24"/>
              </w:rPr>
            </w:pPr>
            <w:r w:rsidRPr="00E441FB">
              <w:rPr>
                <w:rFonts w:cstheme="minorHAnsi"/>
                <w:b/>
                <w:bCs/>
                <w:szCs w:val="24"/>
              </w:rPr>
              <w:t>30,10</w:t>
            </w:r>
          </w:p>
        </w:tc>
        <w:tc>
          <w:tcPr>
            <w:tcW w:w="1551" w:type="dxa"/>
            <w:shd w:val="clear" w:color="auto" w:fill="auto"/>
            <w:vAlign w:val="center"/>
          </w:tcPr>
          <w:p w14:paraId="348AB61D"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734FF8">
              <w:rPr>
                <w:rFonts w:cstheme="minorHAnsi"/>
                <w:b/>
                <w:bCs/>
                <w:szCs w:val="24"/>
              </w:rPr>
              <w:t>16,68</w:t>
            </w:r>
          </w:p>
        </w:tc>
        <w:tc>
          <w:tcPr>
            <w:tcW w:w="1462" w:type="dxa"/>
            <w:shd w:val="clear" w:color="auto" w:fill="auto"/>
            <w:vAlign w:val="center"/>
          </w:tcPr>
          <w:p w14:paraId="487956D1"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734FF8">
              <w:rPr>
                <w:rFonts w:cstheme="minorHAnsi"/>
                <w:b/>
                <w:bCs/>
                <w:szCs w:val="24"/>
              </w:rPr>
              <w:t>0,58</w:t>
            </w:r>
          </w:p>
        </w:tc>
      </w:tr>
      <w:tr w:rsidR="005B731C" w:rsidRPr="006853D3" w14:paraId="0996540A" w14:textId="77777777" w:rsidTr="005B731C">
        <w:trPr>
          <w:trHeight w:val="300"/>
          <w:jc w:val="center"/>
        </w:trPr>
        <w:tc>
          <w:tcPr>
            <w:tcW w:w="3119" w:type="dxa"/>
            <w:shd w:val="clear" w:color="auto" w:fill="auto"/>
            <w:vAlign w:val="center"/>
            <w:hideMark/>
          </w:tcPr>
          <w:p w14:paraId="30B31AD9" w14:textId="77777777" w:rsidR="005B731C" w:rsidRPr="00E441FB" w:rsidRDefault="005B731C" w:rsidP="0018794B">
            <w:pPr>
              <w:spacing w:after="0" w:line="240" w:lineRule="auto"/>
              <w:rPr>
                <w:rFonts w:eastAsia="Times New Roman" w:cstheme="minorHAnsi"/>
                <w:b/>
                <w:bCs/>
                <w:szCs w:val="24"/>
                <w:lang w:eastAsia="lv-LV"/>
              </w:rPr>
            </w:pPr>
            <w:r w:rsidRPr="00E441FB">
              <w:rPr>
                <w:rFonts w:eastAsia="Times New Roman" w:cstheme="minorHAnsi"/>
                <w:b/>
                <w:bCs/>
                <w:szCs w:val="24"/>
                <w:lang w:eastAsia="lv-LV"/>
              </w:rPr>
              <w:t>atkritumu apsaimniekošana</w:t>
            </w:r>
          </w:p>
        </w:tc>
        <w:tc>
          <w:tcPr>
            <w:tcW w:w="1564" w:type="dxa"/>
            <w:shd w:val="clear" w:color="auto" w:fill="auto"/>
            <w:vAlign w:val="center"/>
          </w:tcPr>
          <w:p w14:paraId="6219BEFC" w14:textId="77777777" w:rsidR="005B731C" w:rsidRPr="006853D3" w:rsidRDefault="005B731C" w:rsidP="0018794B">
            <w:pPr>
              <w:spacing w:after="0" w:line="240" w:lineRule="auto"/>
              <w:jc w:val="center"/>
              <w:rPr>
                <w:rFonts w:cstheme="minorHAnsi"/>
                <w:b/>
                <w:bCs/>
                <w:color w:val="FF0000"/>
                <w:szCs w:val="24"/>
              </w:rPr>
            </w:pPr>
            <w:r w:rsidRPr="00422A0E">
              <w:rPr>
                <w:rFonts w:cstheme="minorHAnsi"/>
                <w:b/>
                <w:bCs/>
                <w:szCs w:val="24"/>
              </w:rPr>
              <w:t>4,76</w:t>
            </w:r>
          </w:p>
        </w:tc>
        <w:tc>
          <w:tcPr>
            <w:tcW w:w="1650" w:type="dxa"/>
            <w:shd w:val="clear" w:color="auto" w:fill="auto"/>
            <w:vAlign w:val="center"/>
          </w:tcPr>
          <w:p w14:paraId="10C0C6AE" w14:textId="77777777" w:rsidR="005B731C" w:rsidRPr="006853D3" w:rsidRDefault="005B731C" w:rsidP="0018794B">
            <w:pPr>
              <w:spacing w:after="0" w:line="240" w:lineRule="auto"/>
              <w:jc w:val="center"/>
              <w:rPr>
                <w:rFonts w:cstheme="minorHAnsi"/>
                <w:b/>
                <w:bCs/>
                <w:color w:val="FF0000"/>
                <w:szCs w:val="24"/>
              </w:rPr>
            </w:pPr>
            <w:r w:rsidRPr="00E441FB">
              <w:rPr>
                <w:rFonts w:cstheme="minorHAnsi"/>
                <w:b/>
                <w:bCs/>
                <w:szCs w:val="24"/>
              </w:rPr>
              <w:t>5,81</w:t>
            </w:r>
          </w:p>
        </w:tc>
        <w:tc>
          <w:tcPr>
            <w:tcW w:w="1551" w:type="dxa"/>
            <w:shd w:val="clear" w:color="auto" w:fill="auto"/>
            <w:vAlign w:val="center"/>
          </w:tcPr>
          <w:p w14:paraId="4E92C1B9"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734FF8">
              <w:rPr>
                <w:rFonts w:cstheme="minorHAnsi"/>
                <w:b/>
                <w:bCs/>
                <w:szCs w:val="24"/>
              </w:rPr>
              <w:t>-14,65</w:t>
            </w:r>
          </w:p>
        </w:tc>
        <w:tc>
          <w:tcPr>
            <w:tcW w:w="1462" w:type="dxa"/>
            <w:shd w:val="clear" w:color="auto" w:fill="auto"/>
            <w:vAlign w:val="center"/>
          </w:tcPr>
          <w:p w14:paraId="6F1EBF1B"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734FF8">
              <w:rPr>
                <w:rFonts w:cstheme="minorHAnsi"/>
                <w:b/>
                <w:bCs/>
                <w:szCs w:val="24"/>
              </w:rPr>
              <w:t>-10,57</w:t>
            </w:r>
          </w:p>
        </w:tc>
      </w:tr>
      <w:tr w:rsidR="005B731C" w:rsidRPr="006853D3" w14:paraId="55CC9883" w14:textId="77777777" w:rsidTr="005B731C">
        <w:trPr>
          <w:trHeight w:val="315"/>
          <w:jc w:val="center"/>
        </w:trPr>
        <w:tc>
          <w:tcPr>
            <w:tcW w:w="6333" w:type="dxa"/>
            <w:gridSpan w:val="3"/>
            <w:shd w:val="clear" w:color="auto" w:fill="auto"/>
            <w:vAlign w:val="center"/>
            <w:hideMark/>
          </w:tcPr>
          <w:p w14:paraId="6722C664" w14:textId="77777777" w:rsidR="005B731C" w:rsidRPr="00E441FB" w:rsidRDefault="005B731C" w:rsidP="0018794B">
            <w:pPr>
              <w:spacing w:after="0" w:line="240" w:lineRule="auto"/>
              <w:rPr>
                <w:rFonts w:cstheme="minorHAnsi"/>
                <w:b/>
                <w:bCs/>
                <w:szCs w:val="24"/>
              </w:rPr>
            </w:pPr>
            <w:r w:rsidRPr="00E441FB">
              <w:rPr>
                <w:rFonts w:eastAsia="Times New Roman" w:cstheme="minorHAnsi"/>
                <w:b/>
                <w:bCs/>
                <w:szCs w:val="24"/>
                <w:lang w:eastAsia="lv-LV"/>
              </w:rPr>
              <w:t>KOPĀ</w:t>
            </w:r>
          </w:p>
        </w:tc>
        <w:tc>
          <w:tcPr>
            <w:tcW w:w="1551" w:type="dxa"/>
            <w:shd w:val="clear" w:color="auto" w:fill="auto"/>
            <w:vAlign w:val="center"/>
          </w:tcPr>
          <w:p w14:paraId="3C21E476"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734FF8">
              <w:rPr>
                <w:rFonts w:cstheme="minorHAnsi"/>
                <w:b/>
                <w:bCs/>
                <w:szCs w:val="24"/>
              </w:rPr>
              <w:t>-0,98</w:t>
            </w:r>
          </w:p>
        </w:tc>
        <w:tc>
          <w:tcPr>
            <w:tcW w:w="1462" w:type="dxa"/>
            <w:shd w:val="clear" w:color="auto" w:fill="auto"/>
            <w:vAlign w:val="center"/>
          </w:tcPr>
          <w:p w14:paraId="7B465F8D" w14:textId="77777777" w:rsidR="005B731C" w:rsidRPr="006853D3" w:rsidRDefault="005B731C" w:rsidP="0018794B">
            <w:pPr>
              <w:spacing w:after="0" w:line="240" w:lineRule="auto"/>
              <w:jc w:val="center"/>
              <w:rPr>
                <w:rFonts w:eastAsia="Times New Roman" w:cstheme="minorHAnsi"/>
                <w:b/>
                <w:bCs/>
                <w:color w:val="FF0000"/>
                <w:szCs w:val="24"/>
                <w:lang w:eastAsia="lv-LV"/>
              </w:rPr>
            </w:pPr>
            <w:r w:rsidRPr="00734FF8">
              <w:rPr>
                <w:rFonts w:cstheme="minorHAnsi"/>
                <w:b/>
                <w:bCs/>
                <w:szCs w:val="24"/>
              </w:rPr>
              <w:t>0,1</w:t>
            </w:r>
            <w:r>
              <w:rPr>
                <w:rFonts w:cstheme="minorHAnsi"/>
                <w:b/>
                <w:bCs/>
                <w:szCs w:val="24"/>
              </w:rPr>
              <w:t>0</w:t>
            </w:r>
          </w:p>
        </w:tc>
      </w:tr>
    </w:tbl>
    <w:p w14:paraId="74C6D406" w14:textId="77777777" w:rsidR="00D87276" w:rsidRPr="00CC5D0A" w:rsidRDefault="00D87276" w:rsidP="00D87276">
      <w:pPr>
        <w:pStyle w:val="Heading4"/>
      </w:pPr>
      <w:r w:rsidRPr="00CC5D0A">
        <w:t>Esošā situācija CO</w:t>
      </w:r>
      <w:r w:rsidRPr="00CC5D0A">
        <w:rPr>
          <w:vertAlign w:val="subscript"/>
        </w:rPr>
        <w:t>2</w:t>
      </w:r>
      <w:r w:rsidRPr="00CC5D0A">
        <w:t xml:space="preserve"> piesaistes apjoma nodrošināšanā</w:t>
      </w:r>
    </w:p>
    <w:p w14:paraId="0AC0EFB5" w14:textId="0187B5EF" w:rsidR="00D87276" w:rsidRPr="00C15715" w:rsidRDefault="00D87276" w:rsidP="00D87276">
      <w:pPr>
        <w:spacing w:before="120" w:after="120" w:line="240" w:lineRule="auto"/>
        <w:jc w:val="both"/>
        <w:rPr>
          <w:rFonts w:cstheme="minorHAnsi"/>
          <w:szCs w:val="24"/>
        </w:rPr>
      </w:pPr>
      <w:r w:rsidRPr="00C15715">
        <w:rPr>
          <w:rFonts w:cstheme="minorHAnsi"/>
          <w:szCs w:val="24"/>
        </w:rPr>
        <w:t>Saskaņā ar 2006. gada IPCC vadlīnijām ZIZIMM kategorij</w:t>
      </w:r>
      <w:r w:rsidR="005B731C">
        <w:rPr>
          <w:rFonts w:cstheme="minorHAnsi"/>
          <w:szCs w:val="24"/>
        </w:rPr>
        <w:t>a</w:t>
      </w:r>
      <w:r w:rsidRPr="00C15715">
        <w:rPr>
          <w:rFonts w:cstheme="minorHAnsi"/>
          <w:szCs w:val="24"/>
        </w:rPr>
        <w:t xml:space="preserve"> tiek iedalīta sešās zemes lietojuma kategorijās – meža zeme, aramzeme, pļavas, mitrāji, apbūves un citas. Latvijā ZIZIMM sektors ietver emisijas un CO</w:t>
      </w:r>
      <w:r w:rsidRPr="00C15715">
        <w:rPr>
          <w:rFonts w:cstheme="minorHAnsi"/>
          <w:szCs w:val="24"/>
          <w:vertAlign w:val="subscript"/>
        </w:rPr>
        <w:t>2</w:t>
      </w:r>
      <w:r w:rsidRPr="00C15715">
        <w:rPr>
          <w:rFonts w:cstheme="minorHAnsi"/>
          <w:szCs w:val="24"/>
        </w:rPr>
        <w:t xml:space="preserve"> piesaisti no augstāk uzskaitītajām kategorijām, kas sadalītas sīkākās </w:t>
      </w:r>
      <w:proofErr w:type="spellStart"/>
      <w:r w:rsidRPr="00C15715">
        <w:rPr>
          <w:rFonts w:cstheme="minorHAnsi"/>
          <w:szCs w:val="24"/>
        </w:rPr>
        <w:t>apakškategorijās</w:t>
      </w:r>
      <w:proofErr w:type="spellEnd"/>
      <w:r w:rsidRPr="00C15715">
        <w:rPr>
          <w:rFonts w:cstheme="minorHAnsi"/>
          <w:szCs w:val="24"/>
        </w:rPr>
        <w:t xml:space="preserve">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p w14:paraId="0D5EE788" w14:textId="77777777" w:rsidR="005B731C" w:rsidRPr="006853D3" w:rsidRDefault="005B731C" w:rsidP="005B731C">
      <w:pPr>
        <w:spacing w:before="120" w:after="120" w:line="240" w:lineRule="auto"/>
        <w:jc w:val="both"/>
        <w:rPr>
          <w:rFonts w:cstheme="minorHAnsi"/>
          <w:color w:val="FF0000"/>
          <w:szCs w:val="24"/>
        </w:rPr>
      </w:pPr>
      <w:r w:rsidRPr="00383E0B">
        <w:rPr>
          <w:rFonts w:cstheme="minorHAnsi"/>
          <w:szCs w:val="24"/>
        </w:rPr>
        <w:t>Saskaņā ar 201</w:t>
      </w:r>
      <w:r>
        <w:rPr>
          <w:rFonts w:cstheme="minorHAnsi"/>
          <w:szCs w:val="24"/>
        </w:rPr>
        <w:t>9</w:t>
      </w:r>
      <w:r w:rsidRPr="00383E0B">
        <w:rPr>
          <w:rFonts w:cstheme="minorHAnsi"/>
          <w:szCs w:val="24"/>
        </w:rPr>
        <w:t>. gada SEG inventarizāciju ZIZIMM sektors kopumā 201</w:t>
      </w:r>
      <w:r>
        <w:rPr>
          <w:rFonts w:cstheme="minorHAnsi"/>
          <w:szCs w:val="24"/>
        </w:rPr>
        <w:t>7</w:t>
      </w:r>
      <w:r w:rsidRPr="00383E0B">
        <w:rPr>
          <w:rFonts w:cstheme="minorHAnsi"/>
          <w:szCs w:val="24"/>
        </w:rPr>
        <w:t> gadā nav SEG emisiju avots (CO</w:t>
      </w:r>
      <w:r w:rsidRPr="00383E0B">
        <w:rPr>
          <w:rFonts w:cstheme="minorHAnsi"/>
          <w:szCs w:val="24"/>
          <w:vertAlign w:val="subscript"/>
        </w:rPr>
        <w:t xml:space="preserve">2 </w:t>
      </w:r>
      <w:r w:rsidRPr="00383E0B">
        <w:rPr>
          <w:rFonts w:cstheme="minorHAnsi"/>
          <w:szCs w:val="24"/>
        </w:rPr>
        <w:t>piesaiste ir lielāka nekā visā sektorā radītās SEG emisijas), kur kopējais ZIZIMM sektora radītais CO</w:t>
      </w:r>
      <w:r w:rsidRPr="00383E0B">
        <w:rPr>
          <w:rFonts w:cstheme="minorHAnsi"/>
          <w:szCs w:val="24"/>
          <w:vertAlign w:val="subscript"/>
        </w:rPr>
        <w:t>2</w:t>
      </w:r>
      <w:r w:rsidRPr="00383E0B">
        <w:rPr>
          <w:rFonts w:cstheme="minorHAnsi"/>
          <w:szCs w:val="24"/>
        </w:rPr>
        <w:t xml:space="preserve"> piesaistes apjoms 201</w:t>
      </w:r>
      <w:r>
        <w:rPr>
          <w:rFonts w:cstheme="minorHAnsi"/>
          <w:szCs w:val="24"/>
        </w:rPr>
        <w:t>7</w:t>
      </w:r>
      <w:r w:rsidRPr="00383E0B">
        <w:rPr>
          <w:rFonts w:cstheme="minorHAnsi"/>
          <w:szCs w:val="24"/>
        </w:rPr>
        <w:t xml:space="preserve">.gadā bija </w:t>
      </w:r>
      <w:r>
        <w:rPr>
          <w:rFonts w:cstheme="minorHAnsi"/>
          <w:szCs w:val="24"/>
        </w:rPr>
        <w:t>–1706,</w:t>
      </w:r>
      <w:r w:rsidRPr="004D3137">
        <w:rPr>
          <w:rFonts w:cstheme="minorHAnsi"/>
          <w:szCs w:val="24"/>
        </w:rPr>
        <w:t>85</w:t>
      </w:r>
      <w:r>
        <w:rPr>
          <w:rFonts w:cstheme="minorHAnsi"/>
          <w:szCs w:val="24"/>
        </w:rPr>
        <w:t xml:space="preserve"> </w:t>
      </w:r>
      <w:proofErr w:type="spellStart"/>
      <w:r w:rsidRPr="00B6475E">
        <w:rPr>
          <w:rFonts w:cstheme="minorHAnsi"/>
          <w:szCs w:val="24"/>
        </w:rPr>
        <w:t>kt</w:t>
      </w:r>
      <w:proofErr w:type="spellEnd"/>
      <w:r w:rsidRPr="00B6475E">
        <w:rPr>
          <w:rFonts w:cstheme="minorHAnsi"/>
          <w:szCs w:val="24"/>
        </w:rPr>
        <w:t xml:space="preserve"> CO</w:t>
      </w:r>
      <w:r w:rsidRPr="00B6475E">
        <w:rPr>
          <w:rFonts w:cstheme="minorHAnsi"/>
          <w:szCs w:val="24"/>
          <w:vertAlign w:val="subscript"/>
        </w:rPr>
        <w:t>2</w:t>
      </w:r>
      <w:r w:rsidRPr="00B6475E">
        <w:rPr>
          <w:rFonts w:cstheme="minorHAnsi"/>
          <w:szCs w:val="24"/>
        </w:rPr>
        <w:t xml:space="preserve"> </w:t>
      </w:r>
      <w:proofErr w:type="spellStart"/>
      <w:r w:rsidRPr="00B6475E">
        <w:rPr>
          <w:rFonts w:cstheme="minorHAnsi"/>
          <w:szCs w:val="24"/>
        </w:rPr>
        <w:t>ekv</w:t>
      </w:r>
      <w:proofErr w:type="spellEnd"/>
      <w:r w:rsidRPr="00B6475E">
        <w:rPr>
          <w:rFonts w:cstheme="minorHAnsi"/>
          <w:szCs w:val="24"/>
        </w:rPr>
        <w:t xml:space="preserve">, </w:t>
      </w:r>
      <w:r w:rsidRPr="00383E0B">
        <w:rPr>
          <w:rFonts w:cstheme="minorHAnsi"/>
          <w:szCs w:val="24"/>
        </w:rPr>
        <w:t>salīdzinot ar -</w:t>
      </w:r>
      <w:r w:rsidRPr="004D3137">
        <w:rPr>
          <w:rFonts w:cstheme="minorHAnsi"/>
          <w:szCs w:val="24"/>
        </w:rPr>
        <w:t>9828.92</w:t>
      </w:r>
      <w:r>
        <w:rPr>
          <w:rFonts w:cstheme="minorHAnsi"/>
          <w:szCs w:val="24"/>
        </w:rPr>
        <w:t xml:space="preserve"> </w:t>
      </w:r>
      <w:proofErr w:type="spellStart"/>
      <w:r w:rsidRPr="00383E0B">
        <w:rPr>
          <w:rFonts w:cstheme="minorHAnsi"/>
          <w:szCs w:val="24"/>
        </w:rPr>
        <w:t>kt</w:t>
      </w:r>
      <w:proofErr w:type="spellEnd"/>
      <w:r w:rsidRPr="00383E0B">
        <w:rPr>
          <w:rFonts w:cstheme="minorHAnsi"/>
          <w:szCs w:val="24"/>
        </w:rPr>
        <w:t xml:space="preserve"> CO</w:t>
      </w:r>
      <w:r w:rsidRPr="00383E0B">
        <w:rPr>
          <w:rFonts w:cstheme="minorHAnsi"/>
          <w:szCs w:val="24"/>
          <w:vertAlign w:val="subscript"/>
        </w:rPr>
        <w:t xml:space="preserve">2  </w:t>
      </w:r>
      <w:proofErr w:type="spellStart"/>
      <w:r w:rsidRPr="00383E0B">
        <w:rPr>
          <w:rFonts w:cstheme="minorHAnsi"/>
          <w:szCs w:val="24"/>
        </w:rPr>
        <w:t>ekv</w:t>
      </w:r>
      <w:proofErr w:type="spellEnd"/>
      <w:r w:rsidRPr="00383E0B">
        <w:rPr>
          <w:rFonts w:cstheme="minorHAnsi"/>
          <w:szCs w:val="24"/>
        </w:rPr>
        <w:t>. 1990.gadā. CO</w:t>
      </w:r>
      <w:r w:rsidRPr="00383E0B">
        <w:rPr>
          <w:rFonts w:cstheme="minorHAnsi"/>
          <w:szCs w:val="24"/>
          <w:vertAlign w:val="subscript"/>
        </w:rPr>
        <w:t>2</w:t>
      </w:r>
      <w:r w:rsidRPr="00383E0B">
        <w:rPr>
          <w:rFonts w:cstheme="minorHAnsi"/>
          <w:szCs w:val="24"/>
        </w:rPr>
        <w:t xml:space="preserve"> piesaistes samazinājums - saistāms ar mežistrādes pieaugumu, lielāku atmirumu un mazāku dzīvās biomasas pieaugumu meža zemēs, kas tiek noteikts saskaņā ar Nacionālā meža monitoringa datiem,</w:t>
      </w:r>
      <w:r w:rsidRPr="00383E0B">
        <w:rPr>
          <w:rFonts w:cstheme="minorHAnsi"/>
        </w:rPr>
        <w:t xml:space="preserve"> </w:t>
      </w:r>
      <w:r w:rsidRPr="00383E0B">
        <w:rPr>
          <w:rFonts w:cstheme="minorHAnsi"/>
          <w:szCs w:val="24"/>
        </w:rPr>
        <w:t>kurus apkopo Latvijas Valsts mežzinātnes institūts “Silava”. Kopējā CO</w:t>
      </w:r>
      <w:r w:rsidRPr="00383E0B">
        <w:rPr>
          <w:rFonts w:cstheme="minorHAnsi"/>
          <w:szCs w:val="24"/>
          <w:vertAlign w:val="subscript"/>
        </w:rPr>
        <w:t>2</w:t>
      </w:r>
      <w:r w:rsidRPr="00383E0B">
        <w:rPr>
          <w:rFonts w:cstheme="minorHAnsi"/>
          <w:szCs w:val="24"/>
        </w:rPr>
        <w:t xml:space="preserve"> piesaiste ir samazinājusies par </w:t>
      </w:r>
      <w:r>
        <w:rPr>
          <w:rFonts w:cstheme="minorHAnsi"/>
          <w:szCs w:val="24"/>
        </w:rPr>
        <w:t>82,63</w:t>
      </w:r>
      <w:r w:rsidRPr="00B6475E">
        <w:rPr>
          <w:rFonts w:cstheme="minorHAnsi"/>
          <w:szCs w:val="24"/>
        </w:rPr>
        <w:t xml:space="preserve">% </w:t>
      </w:r>
      <w:r w:rsidRPr="00383E0B">
        <w:rPr>
          <w:rFonts w:cstheme="minorHAnsi"/>
          <w:szCs w:val="24"/>
        </w:rPr>
        <w:t>1990.-201</w:t>
      </w:r>
      <w:r>
        <w:rPr>
          <w:rFonts w:cstheme="minorHAnsi"/>
          <w:szCs w:val="24"/>
        </w:rPr>
        <w:t>7.</w:t>
      </w:r>
      <w:r w:rsidRPr="00383E0B">
        <w:rPr>
          <w:rFonts w:cstheme="minorHAnsi"/>
          <w:szCs w:val="24"/>
        </w:rPr>
        <w:t>gadu periodā. CO</w:t>
      </w:r>
      <w:r w:rsidRPr="00383E0B">
        <w:rPr>
          <w:rFonts w:cstheme="minorHAnsi"/>
          <w:szCs w:val="24"/>
          <w:vertAlign w:val="subscript"/>
        </w:rPr>
        <w:t>2</w:t>
      </w:r>
      <w:r w:rsidRPr="00383E0B">
        <w:rPr>
          <w:rFonts w:cstheme="minorHAnsi"/>
          <w:szCs w:val="24"/>
        </w:rPr>
        <w:t xml:space="preserve"> piesaistes samazinājums ZIZIMM sektorā saistāms ar mežistrādes apjoma pieaugumu (vairāk nekā divas reizes). Tāpat arī ievērojama nozīme SEG emisiju palielināšanā ir meža zemju transformēšanai par apdzīvotām vietām, kā arī dabiski apmežojušos zemju transformācijai par aramzemēm un pļavām, atgriežot tās lauksaimnieciskā apsaimniekošanā.</w:t>
      </w:r>
    </w:p>
    <w:p w14:paraId="13020BCD" w14:textId="77777777" w:rsidR="00D87276" w:rsidRPr="00C15715" w:rsidRDefault="00D87276" w:rsidP="00D87276">
      <w:pPr>
        <w:spacing w:before="120" w:after="120" w:line="240" w:lineRule="auto"/>
        <w:jc w:val="center"/>
        <w:rPr>
          <w:rFonts w:cstheme="minorHAnsi"/>
          <w:szCs w:val="24"/>
        </w:rPr>
      </w:pPr>
      <w:r w:rsidRPr="00C15715">
        <w:rPr>
          <w:rFonts w:cstheme="minorHAnsi"/>
          <w:noProof/>
          <w:szCs w:val="24"/>
        </w:rPr>
        <w:lastRenderedPageBreak/>
        <w:drawing>
          <wp:inline distT="0" distB="0" distL="0" distR="0" wp14:anchorId="073F1AE6" wp14:editId="4AB867CD">
            <wp:extent cx="4548861" cy="271155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9844" cy="2735987"/>
                    </a:xfrm>
                    <a:prstGeom prst="rect">
                      <a:avLst/>
                    </a:prstGeom>
                    <a:noFill/>
                  </pic:spPr>
                </pic:pic>
              </a:graphicData>
            </a:graphic>
          </wp:inline>
        </w:drawing>
      </w:r>
    </w:p>
    <w:p w14:paraId="508B71B1" w14:textId="0C4CBB1C" w:rsidR="00D87276" w:rsidRPr="00C15715" w:rsidRDefault="00D87276" w:rsidP="00D87276">
      <w:pPr>
        <w:pStyle w:val="Caption"/>
        <w:rPr>
          <w:rFonts w:asciiTheme="minorHAnsi" w:hAnsiTheme="minorHAnsi" w:cstheme="minorHAnsi"/>
        </w:rPr>
      </w:pPr>
      <w:r w:rsidRPr="00662B99">
        <w:rPr>
          <w:rFonts w:asciiTheme="minorHAnsi" w:hAnsiTheme="minorHAnsi" w:cstheme="minorHAnsi"/>
          <w:noProof/>
        </w:rPr>
        <w:fldChar w:fldCharType="begin"/>
      </w:r>
      <w:r w:rsidRPr="00662B99">
        <w:rPr>
          <w:rFonts w:asciiTheme="minorHAnsi" w:hAnsiTheme="minorHAnsi" w:cstheme="minorHAnsi"/>
          <w:noProof/>
        </w:rPr>
        <w:instrText xml:space="preserve"> SEQ Ilustrācija \* ARABIC </w:instrText>
      </w:r>
      <w:r w:rsidRPr="00662B99">
        <w:rPr>
          <w:rFonts w:asciiTheme="minorHAnsi" w:hAnsiTheme="minorHAnsi" w:cstheme="minorHAnsi"/>
          <w:noProof/>
        </w:rPr>
        <w:fldChar w:fldCharType="separate"/>
      </w:r>
      <w:r w:rsidR="001121B4">
        <w:rPr>
          <w:rFonts w:asciiTheme="minorHAnsi" w:hAnsiTheme="minorHAnsi" w:cstheme="minorHAnsi"/>
          <w:noProof/>
        </w:rPr>
        <w:t>4</w:t>
      </w:r>
      <w:r w:rsidRPr="00662B99">
        <w:rPr>
          <w:rFonts w:asciiTheme="minorHAnsi" w:hAnsiTheme="minorHAnsi" w:cstheme="minorHAnsi"/>
          <w:noProof/>
        </w:rPr>
        <w:fldChar w:fldCharType="end"/>
      </w:r>
      <w:r w:rsidRPr="00662B99">
        <w:rPr>
          <w:rFonts w:asciiTheme="minorHAnsi" w:hAnsiTheme="minorHAnsi" w:cstheme="minorHAnsi"/>
        </w:rPr>
        <w:t>.attēls. Latvijas ZIZIMM faktiskais SEG emisiju un CO</w:t>
      </w:r>
      <w:r w:rsidRPr="00662B99">
        <w:rPr>
          <w:rFonts w:asciiTheme="minorHAnsi" w:hAnsiTheme="minorHAnsi" w:cstheme="minorHAnsi"/>
          <w:vertAlign w:val="subscript"/>
        </w:rPr>
        <w:t>2</w:t>
      </w:r>
      <w:r w:rsidRPr="00662B99">
        <w:rPr>
          <w:rFonts w:asciiTheme="minorHAnsi" w:hAnsiTheme="minorHAnsi" w:cstheme="minorHAnsi"/>
        </w:rPr>
        <w:t xml:space="preserve"> neto piesaistes apjoms 1990.-2017.gadā  (</w:t>
      </w:r>
      <w:proofErr w:type="spellStart"/>
      <w:r w:rsidRPr="00662B99">
        <w:rPr>
          <w:rFonts w:asciiTheme="minorHAnsi" w:hAnsiTheme="minorHAnsi" w:cstheme="minorHAnsi"/>
        </w:rPr>
        <w:t>kt</w:t>
      </w:r>
      <w:proofErr w:type="spellEnd"/>
      <w:r w:rsidRPr="00662B99">
        <w:rPr>
          <w:rFonts w:asciiTheme="minorHAnsi" w:hAnsiTheme="minorHAnsi" w:cstheme="minorHAnsi"/>
        </w:rPr>
        <w:t xml:space="preserve"> CO</w:t>
      </w:r>
      <w:r w:rsidRPr="00662B99">
        <w:rPr>
          <w:rFonts w:asciiTheme="minorHAnsi" w:hAnsiTheme="minorHAnsi" w:cstheme="minorHAnsi"/>
          <w:vertAlign w:val="subscript"/>
        </w:rPr>
        <w:t>2</w:t>
      </w:r>
      <w:r w:rsidRPr="00662B99">
        <w:rPr>
          <w:rFonts w:asciiTheme="minorHAnsi" w:hAnsiTheme="minorHAnsi" w:cstheme="minorHAnsi"/>
        </w:rPr>
        <w:t xml:space="preserve"> </w:t>
      </w:r>
      <w:proofErr w:type="spellStart"/>
      <w:r w:rsidRPr="00662B99">
        <w:rPr>
          <w:rFonts w:asciiTheme="minorHAnsi" w:hAnsiTheme="minorHAnsi" w:cstheme="minorHAnsi"/>
        </w:rPr>
        <w:t>ekv</w:t>
      </w:r>
      <w:proofErr w:type="spellEnd"/>
      <w:r w:rsidRPr="00662B99">
        <w:rPr>
          <w:rFonts w:asciiTheme="minorHAnsi" w:hAnsiTheme="minorHAnsi" w:cstheme="minorHAnsi"/>
        </w:rPr>
        <w:t>.)</w:t>
      </w:r>
    </w:p>
    <w:p w14:paraId="10957250" w14:textId="01C15321" w:rsidR="00D87276" w:rsidRPr="00C15715" w:rsidRDefault="00D87276" w:rsidP="00D87276">
      <w:pPr>
        <w:spacing w:before="120" w:after="120" w:line="240" w:lineRule="auto"/>
        <w:jc w:val="both"/>
        <w:rPr>
          <w:rFonts w:cstheme="minorHAnsi"/>
          <w:szCs w:val="24"/>
        </w:rPr>
      </w:pPr>
      <w:r w:rsidRPr="00C15715">
        <w:rPr>
          <w:rFonts w:cstheme="minorHAnsi"/>
          <w:szCs w:val="24"/>
        </w:rPr>
        <w:t>Zemes lietojuma veida maiņa uz aramzemi ir galvenokārt saistīta ar kokaugu biomasas izvākšanu no dabiski ar kokiem aizaugušām  lauksaimniecības zemēm, kurās lauksaimnieciskās darbības izbeigtas  1980. un 1990.gados. Dzīvās biomasas pieaugums meža zemēs, kas nemaina lietojuma veidu, un apmežotās zemēs joprojām ir lielāks par oglekļa zudumiem komerciālās ciršanas un dabiskā atmiruma dēļ, līdz ar to kopējā dzīvās biomasas krāja meža zemēs joprojām pieaug.</w:t>
      </w:r>
    </w:p>
    <w:p w14:paraId="504F26D3" w14:textId="77777777" w:rsidR="00D87276" w:rsidRPr="00C15715" w:rsidRDefault="00D87276" w:rsidP="00D87276">
      <w:pPr>
        <w:autoSpaceDE w:val="0"/>
        <w:autoSpaceDN w:val="0"/>
        <w:adjustRightInd w:val="0"/>
        <w:spacing w:before="120" w:after="120" w:line="240" w:lineRule="auto"/>
        <w:jc w:val="both"/>
        <w:rPr>
          <w:rFonts w:cstheme="minorHAnsi"/>
          <w:szCs w:val="24"/>
        </w:rPr>
      </w:pPr>
      <w:r w:rsidRPr="00C15715">
        <w:rPr>
          <w:rFonts w:cstheme="minorHAnsi"/>
          <w:szCs w:val="24"/>
        </w:rPr>
        <w:t xml:space="preserve">Meža apsaimniekošana un meža produktu izmantošana dod būtisku ieguldījumu Latvijas kopējās klimata politikas īstenošanā un Latvijas starptautisko SEG emisiju samazināšanas  saistību izpildē, kā arī veicina efektīvu un videi draudzīgu vietējo energoresursu izmantošanas izaugsmi. </w:t>
      </w:r>
    </w:p>
    <w:p w14:paraId="39AC1C0F" w14:textId="77777777" w:rsidR="00D87276" w:rsidRPr="00C15715" w:rsidRDefault="00D87276" w:rsidP="00D87276">
      <w:pPr>
        <w:pStyle w:val="Heading4"/>
      </w:pPr>
      <w:r w:rsidRPr="00C15715">
        <w:rPr>
          <w:rStyle w:val="normaltextrun"/>
        </w:rPr>
        <w:t>Indikatīvās attīstības prognozes</w:t>
      </w:r>
      <w:r w:rsidRPr="00C15715">
        <w:rPr>
          <w:rStyle w:val="eop"/>
        </w:rPr>
        <w:t> </w:t>
      </w:r>
    </w:p>
    <w:p w14:paraId="1ABD3807" w14:textId="3EA7C0B4" w:rsidR="00D87276" w:rsidRDefault="00D87276" w:rsidP="00D87276">
      <w:pPr>
        <w:pStyle w:val="paragraph"/>
        <w:spacing w:before="120" w:beforeAutospacing="0" w:after="120" w:afterAutospacing="0"/>
        <w:jc w:val="both"/>
        <w:textAlignment w:val="baseline"/>
        <w:rPr>
          <w:rFonts w:asciiTheme="minorHAnsi" w:hAnsiTheme="minorHAnsi" w:cstheme="minorHAnsi"/>
          <w:i/>
          <w:iCs/>
        </w:rPr>
      </w:pPr>
      <w:r w:rsidRPr="00C15715">
        <w:rPr>
          <w:rFonts w:asciiTheme="minorHAnsi" w:hAnsiTheme="minorHAnsi" w:cstheme="minorHAnsi"/>
          <w:i/>
          <w:iCs/>
        </w:rPr>
        <w:t>Tiks papildināts</w:t>
      </w:r>
    </w:p>
    <w:p w14:paraId="44989B3F" w14:textId="77777777" w:rsidR="009A7189" w:rsidRPr="00C15715" w:rsidRDefault="009A7189" w:rsidP="00D87276">
      <w:pPr>
        <w:pStyle w:val="paragraph"/>
        <w:spacing w:before="120" w:beforeAutospacing="0" w:after="120" w:afterAutospacing="0"/>
        <w:jc w:val="both"/>
        <w:textAlignment w:val="baseline"/>
        <w:rPr>
          <w:rFonts w:asciiTheme="minorHAnsi" w:hAnsiTheme="minorHAnsi" w:cstheme="minorHAnsi"/>
          <w:i/>
          <w:iCs/>
        </w:rPr>
      </w:pPr>
    </w:p>
    <w:p w14:paraId="681B3071" w14:textId="77777777" w:rsidR="00D87276" w:rsidRPr="00C15715" w:rsidRDefault="00D87276" w:rsidP="00D87276">
      <w:pPr>
        <w:pStyle w:val="Heading30"/>
        <w:rPr>
          <w:rStyle w:val="normaltextrun"/>
        </w:rPr>
      </w:pPr>
      <w:r w:rsidRPr="00C15715">
        <w:rPr>
          <w:rStyle w:val="normaltextrun"/>
        </w:rPr>
        <w:t>AER enerģija</w:t>
      </w:r>
    </w:p>
    <w:p w14:paraId="761E5F53" w14:textId="77777777" w:rsidR="00D87276" w:rsidRPr="00C15715" w:rsidRDefault="00D87276" w:rsidP="00D87276">
      <w:pPr>
        <w:pStyle w:val="Heading4"/>
        <w:rPr>
          <w:rStyle w:val="normaltextrun"/>
        </w:rPr>
      </w:pPr>
      <w:r w:rsidRPr="00C15715">
        <w:rPr>
          <w:rStyle w:val="normaltextrun"/>
        </w:rPr>
        <w:t>Esošā situācija AER izmantošanā</w:t>
      </w:r>
    </w:p>
    <w:p w14:paraId="063BF229" w14:textId="13CB4714" w:rsidR="00D87276" w:rsidRPr="00C15715" w:rsidRDefault="00D87276" w:rsidP="00D87276">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2018.gadā kopējais AER patēriņš Latvijā bija apmēram 77 PJ, un, salīdzinot ar 2005.gadu, tas ir pieaudzis par 25,6%. Kurināmās koksnes kopējais patēriņš kopš 2005.gada ir palielinājies par 27%, un 2018.gadā tas bija 62,6 PJ.</w:t>
      </w:r>
      <w:r w:rsidRPr="00C15715">
        <w:rPr>
          <w:rFonts w:asciiTheme="minorHAnsi" w:hAnsiTheme="minorHAnsi" w:cstheme="minorHAnsi"/>
        </w:rPr>
        <w:t xml:space="preserve"> K</w:t>
      </w:r>
      <w:r w:rsidRPr="00C15715">
        <w:rPr>
          <w:rFonts w:asciiTheme="minorHAnsi" w:hAnsiTheme="minorHAnsi" w:cstheme="minorHAnsi"/>
          <w:color w:val="000000"/>
        </w:rPr>
        <w:t xml:space="preserve">urināmā koksne (malka, koksnes atlikumi, kurināmā šķelda, koksnes briketes, koksnes granulas) ir </w:t>
      </w:r>
      <w:r w:rsidR="005B731C">
        <w:rPr>
          <w:rFonts w:asciiTheme="minorHAnsi" w:hAnsiTheme="minorHAnsi" w:cstheme="minorHAnsi"/>
          <w:color w:val="000000"/>
        </w:rPr>
        <w:t>visplašāk</w:t>
      </w:r>
      <w:r w:rsidRPr="00C15715">
        <w:rPr>
          <w:rFonts w:asciiTheme="minorHAnsi" w:hAnsiTheme="minorHAnsi" w:cstheme="minorHAnsi"/>
          <w:color w:val="000000"/>
        </w:rPr>
        <w:t xml:space="preserve"> izmantotais AER, un tā patēriņš turpina palielināties katru gadu, īpatsvaram 2018.gadā sasniedzot 80,4%</w:t>
      </w:r>
      <w:r w:rsidR="005B731C" w:rsidRPr="005B731C">
        <w:rPr>
          <w:rFonts w:asciiTheme="minorHAnsi" w:hAnsiTheme="minorHAnsi" w:cstheme="minorHAnsi"/>
        </w:rPr>
        <w:t xml:space="preserve"> </w:t>
      </w:r>
      <w:r w:rsidR="005B731C">
        <w:rPr>
          <w:rFonts w:asciiTheme="minorHAnsi" w:hAnsiTheme="minorHAnsi" w:cstheme="minorHAnsi"/>
        </w:rPr>
        <w:t>no kopējā AER patēriņa</w:t>
      </w:r>
      <w:r w:rsidRPr="00C15715">
        <w:rPr>
          <w:rFonts w:asciiTheme="minorHAnsi" w:hAnsiTheme="minorHAnsi" w:cstheme="minorHAnsi"/>
          <w:color w:val="000000"/>
        </w:rPr>
        <w:t>. No 2017.gada uz 2018.gadu būtiski palielinājās biodegvielas patēriņš – par 198,6%, kā arī saules enerģijas un sadzīves atkritumu (to AER daļas) patēriņš.</w:t>
      </w:r>
    </w:p>
    <w:p w14:paraId="5CFA7B06" w14:textId="11DE679B" w:rsidR="00D87276" w:rsidRPr="00C15715" w:rsidRDefault="00D87276" w:rsidP="00D87276">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 xml:space="preserve">2018.gadā Latvijā saražoja 6725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elektroenerģijas, no tā 3499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no AER, un salīdzinājumā ar 2017.gadu saražotais apjoms no AER samazinājās par 35,9 %. Koģenerācijas stacijās pērn tika saražotas 4170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elektroenerģijas, no tā 22,6 % no AER (</w:t>
      </w:r>
      <w:r w:rsidR="005B731C">
        <w:rPr>
          <w:rFonts w:asciiTheme="minorHAnsi" w:hAnsiTheme="minorHAnsi" w:cstheme="minorHAnsi"/>
          <w:color w:val="000000"/>
        </w:rPr>
        <w:t>gāzveida biomasas (</w:t>
      </w:r>
      <w:r w:rsidRPr="00C15715">
        <w:rPr>
          <w:rFonts w:asciiTheme="minorHAnsi" w:hAnsiTheme="minorHAnsi" w:cstheme="minorHAnsi"/>
          <w:color w:val="000000"/>
        </w:rPr>
        <w:t>biogāzes</w:t>
      </w:r>
      <w:r w:rsidR="005B731C">
        <w:rPr>
          <w:rFonts w:asciiTheme="minorHAnsi" w:hAnsiTheme="minorHAnsi" w:cstheme="minorHAnsi"/>
          <w:color w:val="000000"/>
        </w:rPr>
        <w:t>)</w:t>
      </w:r>
      <w:r w:rsidRPr="00C15715">
        <w:rPr>
          <w:rFonts w:asciiTheme="minorHAnsi" w:hAnsiTheme="minorHAnsi" w:cstheme="minorHAnsi"/>
          <w:color w:val="000000"/>
        </w:rPr>
        <w:t xml:space="preserve"> un </w:t>
      </w:r>
      <w:r w:rsidR="005B731C">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koģenerācijas stacijās). Pēdējo piecu gadu laikā saražotā elektroenerģija </w:t>
      </w:r>
      <w:r w:rsidR="005B731C">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elektrostacijās un koģenerācijas stacijās pieauga no 319 līdz 570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un </w:t>
      </w:r>
      <w:r w:rsidR="005B731C">
        <w:rPr>
          <w:rFonts w:asciiTheme="minorHAnsi" w:hAnsiTheme="minorHAnsi" w:cstheme="minorHAnsi"/>
          <w:color w:val="000000"/>
        </w:rPr>
        <w:t>gāzveida biomasas (</w:t>
      </w:r>
      <w:r w:rsidRPr="00C15715">
        <w:rPr>
          <w:rFonts w:asciiTheme="minorHAnsi" w:hAnsiTheme="minorHAnsi" w:cstheme="minorHAnsi"/>
          <w:color w:val="000000"/>
        </w:rPr>
        <w:t>biogāzes</w:t>
      </w:r>
      <w:r w:rsidR="005B731C">
        <w:rPr>
          <w:rFonts w:asciiTheme="minorHAnsi" w:hAnsiTheme="minorHAnsi" w:cstheme="minorHAnsi"/>
          <w:color w:val="000000"/>
        </w:rPr>
        <w:t>)</w:t>
      </w:r>
      <w:r w:rsidRPr="00C15715">
        <w:rPr>
          <w:rFonts w:asciiTheme="minorHAnsi" w:hAnsiTheme="minorHAnsi" w:cstheme="minorHAnsi"/>
          <w:color w:val="000000"/>
        </w:rPr>
        <w:t xml:space="preserve"> koģenerācijas stacijās – no 350 līdz 374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2018.gadā, salīdzinot ar 2017.gadu, par 43,6 % samazinājās saražotā primārā </w:t>
      </w:r>
      <w:r w:rsidRPr="00C15715">
        <w:rPr>
          <w:rFonts w:asciiTheme="minorHAnsi" w:hAnsiTheme="minorHAnsi" w:cstheme="minorHAnsi"/>
          <w:color w:val="000000"/>
        </w:rPr>
        <w:lastRenderedPageBreak/>
        <w:t xml:space="preserve">elektroenerģija – no tā HES samazinājums par 44,5 % un VES – par 18,7 %. Pērn HES saražoja 2432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un VES – 122 </w:t>
      </w:r>
      <w:proofErr w:type="spellStart"/>
      <w:r w:rsidRPr="00C15715">
        <w:rPr>
          <w:rFonts w:asciiTheme="minorHAnsi" w:hAnsiTheme="minorHAnsi" w:cstheme="minorHAnsi"/>
          <w:color w:val="000000"/>
        </w:rPr>
        <w:t>GWh</w:t>
      </w:r>
      <w:proofErr w:type="spellEnd"/>
      <w:r w:rsidRPr="00C15715">
        <w:rPr>
          <w:rFonts w:asciiTheme="minorHAnsi" w:hAnsiTheme="minorHAnsi" w:cstheme="minorHAnsi"/>
          <w:color w:val="000000"/>
        </w:rPr>
        <w:t xml:space="preserve"> VES. Elektroenerģijas ražošanas samazinājumu pērn visvairāk ietekmēja zemā izstrāde HES, kas skaidrojama ar netipiski sausu un garu vasaras periodu ar zemiem ūdenstilpju līmeņiem un zemu ūdens pieteci Daugavā.</w:t>
      </w:r>
    </w:p>
    <w:p w14:paraId="104E735E" w14:textId="32AAE46B" w:rsidR="00D87276" w:rsidRPr="00C15715" w:rsidRDefault="005174F1" w:rsidP="00D87276">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2F877A8C" wp14:editId="3B2A5591">
            <wp:extent cx="5067540" cy="31306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4352" cy="3147169"/>
                    </a:xfrm>
                    <a:prstGeom prst="rect">
                      <a:avLst/>
                    </a:prstGeom>
                    <a:noFill/>
                  </pic:spPr>
                </pic:pic>
              </a:graphicData>
            </a:graphic>
          </wp:inline>
        </w:drawing>
      </w:r>
    </w:p>
    <w:p w14:paraId="2CAC9CFD" w14:textId="7B4ABC63" w:rsidR="00D87276" w:rsidRPr="00C15715" w:rsidRDefault="00D87276" w:rsidP="00D87276">
      <w:pPr>
        <w:pStyle w:val="Caption"/>
        <w:spacing w:before="0"/>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5</w:t>
      </w:r>
      <w:r w:rsidRPr="00C15715">
        <w:rPr>
          <w:rFonts w:asciiTheme="minorHAnsi" w:hAnsiTheme="minorHAnsi" w:cstheme="minorHAnsi"/>
          <w:noProof/>
        </w:rPr>
        <w:fldChar w:fldCharType="end"/>
      </w:r>
      <w:r w:rsidRPr="00C15715">
        <w:rPr>
          <w:rFonts w:asciiTheme="minorHAnsi" w:hAnsiTheme="minorHAnsi" w:cstheme="minorHAnsi"/>
        </w:rPr>
        <w:t>.attēls. No AER saražotās elektroenerģijas apjoms Latvijā 2006.-2018.g. (</w:t>
      </w:r>
      <w:proofErr w:type="spellStart"/>
      <w:r w:rsidRPr="00C15715">
        <w:rPr>
          <w:rFonts w:asciiTheme="minorHAnsi" w:hAnsiTheme="minorHAnsi" w:cstheme="minorHAnsi"/>
        </w:rPr>
        <w:t>GWh</w:t>
      </w:r>
      <w:proofErr w:type="spellEnd"/>
      <w:r w:rsidRPr="00C15715">
        <w:rPr>
          <w:rFonts w:asciiTheme="minorHAnsi" w:hAnsiTheme="minorHAnsi" w:cstheme="minorHAnsi"/>
        </w:rPr>
        <w:t>)</w:t>
      </w:r>
      <w:r w:rsidRPr="00C15715">
        <w:rPr>
          <w:rStyle w:val="FootnoteReference"/>
          <w:rFonts w:asciiTheme="minorHAnsi" w:hAnsiTheme="minorHAnsi" w:cstheme="minorHAnsi"/>
        </w:rPr>
        <w:footnoteReference w:id="7"/>
      </w:r>
    </w:p>
    <w:p w14:paraId="750F6675" w14:textId="77777777" w:rsidR="00D87276" w:rsidRPr="00C15715" w:rsidRDefault="00D87276" w:rsidP="00D87276">
      <w:pPr>
        <w:spacing w:before="120" w:after="120" w:line="240" w:lineRule="auto"/>
        <w:jc w:val="both"/>
        <w:rPr>
          <w:rFonts w:cstheme="minorHAnsi"/>
        </w:rPr>
      </w:pPr>
      <w:r w:rsidRPr="00C15715">
        <w:rPr>
          <w:rFonts w:cstheme="minorHAnsi"/>
        </w:rPr>
        <w:t xml:space="preserve">2018.gadā Latvijā CSA un LSA saražoja 8247 </w:t>
      </w:r>
      <w:proofErr w:type="spellStart"/>
      <w:r w:rsidRPr="00C15715">
        <w:rPr>
          <w:rFonts w:cstheme="minorHAnsi"/>
        </w:rPr>
        <w:t>GWh</w:t>
      </w:r>
      <w:proofErr w:type="spellEnd"/>
      <w:r w:rsidRPr="00C15715">
        <w:rPr>
          <w:rFonts w:cstheme="minorHAnsi"/>
        </w:rPr>
        <w:t xml:space="preserve"> siltumenerģijas, no tā 46,7% ir saražots izmantojot AER, kur absolūti dominē cietā biomasa (kurināmā koksne) – 93,5% 2018.gadā. AER izmantošana CSA un LSA periodā no 2012.gada ir palielinājies gandrīz 3 reizes. Savukārt kurināmās koksnes patēriņš mājsaimniecībās (individuālajā siltumapgādē) 2018.gadā sasniedz gandrīz 80%.</w:t>
      </w:r>
    </w:p>
    <w:p w14:paraId="6ADA7A75" w14:textId="5AE9772B" w:rsidR="00D87276" w:rsidRPr="00C15715" w:rsidRDefault="005174F1" w:rsidP="00D87276">
      <w:pPr>
        <w:jc w:val="center"/>
        <w:rPr>
          <w:rFonts w:cstheme="minorHAnsi"/>
        </w:rPr>
      </w:pPr>
      <w:r>
        <w:rPr>
          <w:rFonts w:cstheme="minorHAnsi"/>
          <w:noProof/>
        </w:rPr>
        <w:drawing>
          <wp:inline distT="0" distB="0" distL="0" distR="0" wp14:anchorId="3D0BFFA0" wp14:editId="4484CF23">
            <wp:extent cx="4548594" cy="3276493"/>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7720" cy="3297473"/>
                    </a:xfrm>
                    <a:prstGeom prst="rect">
                      <a:avLst/>
                    </a:prstGeom>
                    <a:noFill/>
                  </pic:spPr>
                </pic:pic>
              </a:graphicData>
            </a:graphic>
          </wp:inline>
        </w:drawing>
      </w:r>
    </w:p>
    <w:p w14:paraId="5A98C055" w14:textId="7B57BB39" w:rsidR="00D87276" w:rsidRPr="00C15715" w:rsidRDefault="00D87276" w:rsidP="00D87276">
      <w:pPr>
        <w:pStyle w:val="Caption"/>
        <w:spacing w:before="0"/>
        <w:rPr>
          <w:rFonts w:asciiTheme="minorHAnsi" w:hAnsiTheme="minorHAnsi" w:cstheme="minorHAnsi"/>
        </w:rPr>
      </w:pPr>
      <w:r w:rsidRPr="00C15715">
        <w:rPr>
          <w:rFonts w:asciiTheme="minorHAnsi" w:hAnsiTheme="minorHAnsi" w:cstheme="minorHAnsi"/>
          <w:noProof/>
        </w:rPr>
        <w:lastRenderedPageBreak/>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6</w:t>
      </w:r>
      <w:r w:rsidRPr="00C15715">
        <w:rPr>
          <w:rFonts w:asciiTheme="minorHAnsi" w:hAnsiTheme="minorHAnsi" w:cstheme="minorHAnsi"/>
          <w:noProof/>
        </w:rPr>
        <w:fldChar w:fldCharType="end"/>
      </w:r>
      <w:r w:rsidRPr="00C15715">
        <w:rPr>
          <w:rFonts w:asciiTheme="minorHAnsi" w:hAnsiTheme="minorHAnsi" w:cstheme="minorHAnsi"/>
        </w:rPr>
        <w:t>.attēls. No AER saražotās CSA un LSA siltumenerģijas apjoms Latvijā 2006.-2018.g. (</w:t>
      </w:r>
      <w:r w:rsidR="005174F1">
        <w:rPr>
          <w:rFonts w:asciiTheme="minorHAnsi" w:hAnsiTheme="minorHAnsi" w:cstheme="minorHAnsi"/>
        </w:rPr>
        <w:t>TJ</w:t>
      </w:r>
      <w:r w:rsidRPr="00C15715">
        <w:rPr>
          <w:rFonts w:asciiTheme="minorHAnsi" w:hAnsiTheme="minorHAnsi" w:cstheme="minorHAnsi"/>
        </w:rPr>
        <w:t>)</w:t>
      </w:r>
      <w:r w:rsidRPr="00C15715">
        <w:rPr>
          <w:rStyle w:val="FootnoteReference"/>
          <w:rFonts w:asciiTheme="minorHAnsi" w:hAnsiTheme="minorHAnsi" w:cstheme="minorHAnsi"/>
        </w:rPr>
        <w:footnoteReference w:id="8"/>
      </w:r>
    </w:p>
    <w:p w14:paraId="31175106" w14:textId="34AC6903" w:rsidR="00D87276" w:rsidRPr="00C15715" w:rsidRDefault="00D87276" w:rsidP="00D87276">
      <w:pPr>
        <w:pStyle w:val="NoSpacing"/>
        <w:spacing w:before="120" w:after="120"/>
        <w:jc w:val="both"/>
        <w:rPr>
          <w:rFonts w:asciiTheme="minorHAnsi" w:hAnsiTheme="minorHAnsi" w:cstheme="minorHAnsi"/>
          <w:szCs w:val="24"/>
        </w:rPr>
      </w:pPr>
      <w:bookmarkStart w:id="3" w:name="_Hlk9233933"/>
      <w:r w:rsidRPr="00C15715">
        <w:rPr>
          <w:rFonts w:asciiTheme="minorHAnsi" w:hAnsiTheme="minorHAnsi" w:cstheme="minorHAnsi"/>
          <w:szCs w:val="24"/>
        </w:rPr>
        <w:t xml:space="preserve">AER un elektroenerģijas </w:t>
      </w:r>
      <w:r w:rsidR="005174F1">
        <w:rPr>
          <w:rFonts w:asciiTheme="minorHAnsi" w:hAnsiTheme="minorHAnsi" w:cstheme="minorHAnsi"/>
          <w:szCs w:val="24"/>
        </w:rPr>
        <w:t xml:space="preserve">patēriņš </w:t>
      </w:r>
      <w:r w:rsidRPr="00C15715">
        <w:rPr>
          <w:rFonts w:asciiTheme="minorHAnsi" w:hAnsiTheme="minorHAnsi" w:cstheme="minorHAnsi"/>
          <w:szCs w:val="24"/>
        </w:rPr>
        <w:t>transporta sektorā 2018.gadā bija 1,65 PJ, kas ir tikai 3,06% no kopējā transportā izmantotās enerģijas apjoma. AER izmantojums transportā salīdzinot ar 2005.gadu ir palielinājies 2,5 reizes un</w:t>
      </w:r>
      <w:r w:rsidR="00A609AB">
        <w:rPr>
          <w:rFonts w:asciiTheme="minorHAnsi" w:hAnsiTheme="minorHAnsi" w:cstheme="minorHAnsi"/>
          <w:szCs w:val="24"/>
        </w:rPr>
        <w:t xml:space="preserve"> 2018.gadā pēc krasām svārstībām 2015.-2018.g. periodā ir sasniedzis augstāko patēriņa apjomu – 6% pieaugums salīdzinot ar 2010.gadu</w:t>
      </w:r>
      <w:r w:rsidRPr="00C15715">
        <w:rPr>
          <w:rFonts w:asciiTheme="minorHAnsi" w:hAnsiTheme="minorHAnsi" w:cstheme="minorHAnsi"/>
          <w:szCs w:val="24"/>
        </w:rPr>
        <w:t>.</w:t>
      </w:r>
    </w:p>
    <w:bookmarkEnd w:id="3"/>
    <w:p w14:paraId="668C2C58" w14:textId="77777777" w:rsidR="00D87276" w:rsidRPr="00C15715" w:rsidRDefault="00D87276" w:rsidP="00D87276">
      <w:pPr>
        <w:pStyle w:val="NoSpacing"/>
        <w:spacing w:before="120" w:after="120"/>
        <w:jc w:val="both"/>
        <w:rPr>
          <w:rFonts w:asciiTheme="minorHAnsi" w:hAnsiTheme="minorHAnsi" w:cstheme="minorHAnsi"/>
          <w:szCs w:val="24"/>
        </w:rPr>
      </w:pPr>
      <w:r w:rsidRPr="00C15715">
        <w:rPr>
          <w:rFonts w:asciiTheme="minorHAnsi" w:hAnsiTheme="minorHAnsi" w:cstheme="minorHAnsi"/>
          <w:szCs w:val="24"/>
        </w:rPr>
        <w:t>Latvijā no 2009. gada 1. oktobra ir ieviests obligātais 5% biodegvielas piejaukums fosilajai degvielai. 95. markas benzīnu atļauts realizēt tikai ar bioetanola saturu 4,5–5 tilpumprocenti no kopējā benzīna tilpuma, taču šī prasība nav attiecināma uz benzīnu, kuru izmanto aviācijas transporta dzinējos, un 98. markas benzīnu. Dīzeļdegvielu atļauts realizēt tikai ar biodīzeļdegvielas, kas iegūta no rapšu sēklu eļļas saturu 4,5-7 tilpumprocenti no kopējā maisījuma tilpuma</w:t>
      </w:r>
      <w:r w:rsidRPr="00C15715" w:rsidDel="00BB5B88">
        <w:rPr>
          <w:rFonts w:asciiTheme="minorHAnsi" w:hAnsiTheme="minorHAnsi" w:cstheme="minorHAnsi"/>
          <w:szCs w:val="24"/>
        </w:rPr>
        <w:t xml:space="preserve"> </w:t>
      </w:r>
      <w:r w:rsidRPr="00C15715">
        <w:rPr>
          <w:rFonts w:asciiTheme="minorHAnsi" w:hAnsiTheme="minorHAnsi" w:cstheme="minorHAnsi"/>
          <w:szCs w:val="24"/>
        </w:rPr>
        <w:t xml:space="preserve">vai </w:t>
      </w:r>
      <w:proofErr w:type="spellStart"/>
      <w:r w:rsidRPr="00C15715">
        <w:rPr>
          <w:rFonts w:asciiTheme="minorHAnsi" w:hAnsiTheme="minorHAnsi" w:cstheme="minorHAnsi"/>
          <w:szCs w:val="24"/>
        </w:rPr>
        <w:t>parafinizētu</w:t>
      </w:r>
      <w:proofErr w:type="spellEnd"/>
      <w:r w:rsidRPr="00C15715">
        <w:rPr>
          <w:rFonts w:asciiTheme="minorHAnsi" w:hAnsiTheme="minorHAnsi" w:cstheme="minorHAnsi"/>
          <w:szCs w:val="24"/>
        </w:rPr>
        <w:t xml:space="preserve"> dīzeļdegvielu, kas iegūta no biomasas, vismaz 4,5 tilpumprocentu apjomā no kopējā maisījuma tilpuma. Šī prasība nav attiecināma uz dīzeļdegvielu, kuru realizē no 1. novembra līdz 15. aprīlim, kā arī dīzeļdegvielu, kuru izmanto jūras transporta flotes kuģu dzinējos un aviācijas transporta dzinējos.</w:t>
      </w:r>
    </w:p>
    <w:p w14:paraId="2A8E0BA7" w14:textId="77777777" w:rsidR="00D87276" w:rsidRPr="00C15715" w:rsidRDefault="00D87276" w:rsidP="00D87276">
      <w:pPr>
        <w:spacing w:before="120" w:after="120" w:line="240" w:lineRule="auto"/>
        <w:jc w:val="center"/>
        <w:rPr>
          <w:rFonts w:cstheme="minorHAnsi"/>
          <w:szCs w:val="24"/>
        </w:rPr>
      </w:pPr>
      <w:r w:rsidRPr="00C15715">
        <w:rPr>
          <w:rFonts w:cstheme="minorHAnsi"/>
          <w:noProof/>
          <w:szCs w:val="24"/>
        </w:rPr>
        <w:drawing>
          <wp:inline distT="0" distB="0" distL="0" distR="0" wp14:anchorId="00F4F71E" wp14:editId="365777E6">
            <wp:extent cx="4262353" cy="268954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9510" cy="2706683"/>
                    </a:xfrm>
                    <a:prstGeom prst="rect">
                      <a:avLst/>
                    </a:prstGeom>
                    <a:noFill/>
                  </pic:spPr>
                </pic:pic>
              </a:graphicData>
            </a:graphic>
          </wp:inline>
        </w:drawing>
      </w:r>
    </w:p>
    <w:p w14:paraId="2661DDC9" w14:textId="0BE1F216" w:rsidR="00D87276" w:rsidRPr="00C15715" w:rsidRDefault="00D87276" w:rsidP="00D87276">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r w:rsidR="001121B4">
        <w:rPr>
          <w:rFonts w:asciiTheme="minorHAnsi" w:hAnsiTheme="minorHAnsi" w:cstheme="minorHAnsi"/>
          <w:noProof/>
          <w:szCs w:val="24"/>
        </w:rPr>
        <w:t>7</w:t>
      </w:r>
      <w:r w:rsidRPr="00C15715">
        <w:rPr>
          <w:rFonts w:asciiTheme="minorHAnsi" w:hAnsiTheme="minorHAnsi" w:cstheme="minorHAnsi"/>
          <w:szCs w:val="24"/>
        </w:rPr>
        <w:fldChar w:fldCharType="end"/>
      </w:r>
      <w:r w:rsidRPr="00C15715">
        <w:rPr>
          <w:rFonts w:asciiTheme="minorHAnsi" w:hAnsiTheme="minorHAnsi" w:cstheme="minorHAnsi"/>
        </w:rPr>
        <w:t>.attēls. AER izmantojums transportā 2005.-2018.g. (TJ)</w:t>
      </w:r>
      <w:r w:rsidRPr="00C15715">
        <w:rPr>
          <w:rStyle w:val="FootnoteReference"/>
          <w:rFonts w:asciiTheme="minorHAnsi" w:hAnsiTheme="minorHAnsi" w:cstheme="minorHAnsi"/>
        </w:rPr>
        <w:footnoteReference w:id="9"/>
      </w:r>
    </w:p>
    <w:p w14:paraId="138632E0" w14:textId="77777777" w:rsidR="00D87276" w:rsidRPr="00C15715" w:rsidRDefault="00D87276" w:rsidP="00D87276">
      <w:pPr>
        <w:pStyle w:val="NoSpacing"/>
        <w:spacing w:before="120" w:after="120"/>
        <w:jc w:val="both"/>
        <w:rPr>
          <w:rFonts w:asciiTheme="minorHAnsi" w:hAnsiTheme="minorHAnsi" w:cstheme="minorHAnsi"/>
          <w:szCs w:val="24"/>
        </w:rPr>
      </w:pPr>
      <w:bookmarkStart w:id="4" w:name="_Hlk9236008"/>
      <w:r w:rsidRPr="00C15715">
        <w:rPr>
          <w:rFonts w:asciiTheme="minorHAnsi" w:hAnsiTheme="minorHAnsi" w:cstheme="minorHAnsi"/>
          <w:szCs w:val="24"/>
        </w:rPr>
        <w:t xml:space="preserve">Uz 2019.gada 1.jūliju </w:t>
      </w:r>
      <w:r w:rsidRPr="00C15715">
        <w:rPr>
          <w:rFonts w:asciiTheme="minorHAnsi" w:hAnsiTheme="minorHAnsi" w:cstheme="minorHAnsi"/>
        </w:rPr>
        <w:t>Latvijā tehniskā kārtībā ir vairāk nekā 658 ETL, no kuriem 518 ir vieglie ETL, bet 19 – autobusi vai kravas auto</w:t>
      </w:r>
      <w:bookmarkEnd w:id="4"/>
      <w:r w:rsidRPr="00C15715">
        <w:rPr>
          <w:rFonts w:asciiTheme="minorHAnsi" w:hAnsiTheme="minorHAnsi" w:cstheme="minorHAnsi"/>
          <w:szCs w:val="24"/>
        </w:rPr>
        <w:t>, un salīdzinot ar 2018.gada 1.jūliju šis skaits ir palielinājies par 37,4%.</w:t>
      </w:r>
    </w:p>
    <w:p w14:paraId="1E5A8076" w14:textId="360B41D0" w:rsidR="00D87276" w:rsidRPr="00C15715" w:rsidRDefault="00D87276" w:rsidP="00D87276">
      <w:pPr>
        <w:pStyle w:val="Heading4"/>
      </w:pPr>
      <w:r w:rsidRPr="00C15715">
        <w:t>Latvijas 2020.gada AER enerģijas īpatsvara mērķa izpilde</w:t>
      </w:r>
    </w:p>
    <w:p w14:paraId="10FEF47B" w14:textId="549F7D68" w:rsidR="00D87276" w:rsidRPr="00C15715" w:rsidRDefault="00D87276" w:rsidP="00D87276">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 xml:space="preserve">AE īpatsvars 2017.gadā kopējā enerģijas </w:t>
      </w:r>
      <w:proofErr w:type="spellStart"/>
      <w:r w:rsidRPr="00C15715">
        <w:rPr>
          <w:rFonts w:asciiTheme="minorHAnsi" w:hAnsiTheme="minorHAnsi" w:cstheme="minorHAnsi"/>
          <w:color w:val="000000"/>
        </w:rPr>
        <w:t>galapatēriņā</w:t>
      </w:r>
      <w:proofErr w:type="spellEnd"/>
      <w:r w:rsidRPr="00C15715">
        <w:rPr>
          <w:rFonts w:asciiTheme="minorHAnsi" w:hAnsiTheme="minorHAnsi" w:cstheme="minorHAnsi"/>
          <w:color w:val="000000"/>
        </w:rPr>
        <w:t xml:space="preserve"> veidoja 39% un šis īpatsvars ir palielinājies par 20,9% no 2005.gada. Ņemot vērā kopējā enerģijas </w:t>
      </w:r>
      <w:proofErr w:type="spellStart"/>
      <w:r w:rsidRPr="00C15715">
        <w:rPr>
          <w:rFonts w:asciiTheme="minorHAnsi" w:hAnsiTheme="minorHAnsi" w:cstheme="minorHAnsi"/>
          <w:color w:val="000000"/>
        </w:rPr>
        <w:t>galapatēriņa</w:t>
      </w:r>
      <w:proofErr w:type="spellEnd"/>
      <w:r w:rsidRPr="00C15715">
        <w:rPr>
          <w:rFonts w:asciiTheme="minorHAnsi" w:hAnsiTheme="minorHAnsi" w:cstheme="minorHAnsi"/>
          <w:color w:val="000000"/>
        </w:rPr>
        <w:t xml:space="preserve"> sarukumu, AE īpatsvars saglabājās virs indikatīvās līknes 2020.gada mērķa sasniegšanai. </w:t>
      </w:r>
    </w:p>
    <w:p w14:paraId="1FF5BC59" w14:textId="00913F92" w:rsidR="00D87276" w:rsidRPr="00C15715" w:rsidRDefault="009A7189" w:rsidP="00D87276">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lastRenderedPageBreak/>
        <w:drawing>
          <wp:inline distT="0" distB="0" distL="0" distR="0" wp14:anchorId="51CEA60D" wp14:editId="0E4C61E5">
            <wp:extent cx="5178777" cy="3228864"/>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9772" cy="3235719"/>
                    </a:xfrm>
                    <a:prstGeom prst="rect">
                      <a:avLst/>
                    </a:prstGeom>
                    <a:noFill/>
                  </pic:spPr>
                </pic:pic>
              </a:graphicData>
            </a:graphic>
          </wp:inline>
        </w:drawing>
      </w:r>
    </w:p>
    <w:p w14:paraId="31475582" w14:textId="662372A6"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8</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kopējais </w:t>
      </w:r>
      <w:r w:rsidR="009A7189">
        <w:rPr>
          <w:rFonts w:asciiTheme="minorHAnsi" w:hAnsiTheme="minorHAnsi" w:cstheme="minorHAnsi"/>
        </w:rPr>
        <w:t xml:space="preserve">un </w:t>
      </w:r>
      <w:proofErr w:type="spellStart"/>
      <w:r w:rsidR="009A7189">
        <w:rPr>
          <w:rFonts w:asciiTheme="minorHAnsi" w:hAnsiTheme="minorHAnsi" w:cstheme="minorHAnsi"/>
        </w:rPr>
        <w:t>sektorālais</w:t>
      </w:r>
      <w:proofErr w:type="spellEnd"/>
      <w:r w:rsidR="009A7189">
        <w:rPr>
          <w:rFonts w:asciiTheme="minorHAnsi" w:hAnsiTheme="minorHAnsi" w:cstheme="minorHAnsi"/>
        </w:rPr>
        <w:t xml:space="preserve"> </w:t>
      </w:r>
      <w:r w:rsidRPr="00C15715">
        <w:rPr>
          <w:rFonts w:asciiTheme="minorHAnsi" w:hAnsiTheme="minorHAnsi" w:cstheme="minorHAnsi"/>
        </w:rPr>
        <w:t>AE īpatsvars</w:t>
      </w:r>
      <w:r w:rsidR="009A7189">
        <w:rPr>
          <w:rFonts w:asciiTheme="minorHAnsi" w:hAnsiTheme="minorHAnsi" w:cstheme="minorHAnsi"/>
        </w:rPr>
        <w:t xml:space="preserve">, AE </w:t>
      </w:r>
      <w:r w:rsidRPr="00C15715">
        <w:rPr>
          <w:rFonts w:asciiTheme="minorHAnsi" w:hAnsiTheme="minorHAnsi" w:cstheme="minorHAnsi"/>
        </w:rPr>
        <w:t>mērķa izpilde</w:t>
      </w:r>
      <w:r w:rsidR="009A7189" w:rsidRPr="009A7189">
        <w:rPr>
          <w:rFonts w:asciiTheme="minorHAnsi" w:hAnsiTheme="minorHAnsi" w:cstheme="minorHAnsi"/>
        </w:rPr>
        <w:t xml:space="preserve"> </w:t>
      </w:r>
      <w:r w:rsidR="009A7189" w:rsidRPr="00C15715">
        <w:rPr>
          <w:rFonts w:asciiTheme="minorHAnsi" w:hAnsiTheme="minorHAnsi" w:cstheme="minorHAnsi"/>
        </w:rPr>
        <w:t xml:space="preserve">un AE indikatīvās attīstības līknes </w:t>
      </w:r>
      <w:r w:rsidRPr="00C15715">
        <w:rPr>
          <w:rFonts w:asciiTheme="minorHAnsi" w:hAnsiTheme="minorHAnsi" w:cstheme="minorHAnsi"/>
        </w:rPr>
        <w:t>(2005.-2017.g.)</w:t>
      </w:r>
      <w:r w:rsidRPr="00C15715">
        <w:rPr>
          <w:rStyle w:val="FootnoteReference"/>
          <w:rFonts w:asciiTheme="minorHAnsi" w:hAnsiTheme="minorHAnsi" w:cstheme="minorHAnsi"/>
        </w:rPr>
        <w:footnoteReference w:id="10"/>
      </w:r>
    </w:p>
    <w:p w14:paraId="18A83864"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Attiecībā uz AE īpatsvara </w:t>
      </w:r>
      <w:proofErr w:type="spellStart"/>
      <w:r w:rsidRPr="00C15715">
        <w:rPr>
          <w:rFonts w:asciiTheme="minorHAnsi" w:hAnsiTheme="minorHAnsi" w:cstheme="minorHAnsi"/>
        </w:rPr>
        <w:t>sektorālajiem</w:t>
      </w:r>
      <w:proofErr w:type="spellEnd"/>
      <w:r w:rsidRPr="00C15715">
        <w:rPr>
          <w:rFonts w:asciiTheme="minorHAnsi" w:hAnsiTheme="minorHAnsi" w:cstheme="minorHAnsi"/>
        </w:rPr>
        <w:t xml:space="preserve"> mērķiem ir secināms, ka 2017.gadā Latvija ir pārsniegusi LRRAEJ</w:t>
      </w:r>
      <w:r w:rsidRPr="00C15715">
        <w:rPr>
          <w:rStyle w:val="FootnoteReference"/>
          <w:rFonts w:asciiTheme="minorHAnsi" w:hAnsiTheme="minorHAnsi" w:cstheme="minorHAnsi"/>
        </w:rPr>
        <w:footnoteReference w:id="11"/>
      </w:r>
      <w:r w:rsidRPr="00C15715">
        <w:rPr>
          <w:rFonts w:asciiTheme="minorHAnsi" w:hAnsiTheme="minorHAnsi" w:cstheme="minorHAnsi"/>
        </w:rPr>
        <w:t xml:space="preserve"> plānā noteiktos AE īpatsvara siltumapgādē un </w:t>
      </w:r>
      <w:proofErr w:type="spellStart"/>
      <w:r w:rsidRPr="00C15715">
        <w:rPr>
          <w:rFonts w:asciiTheme="minorHAnsi" w:hAnsiTheme="minorHAnsi" w:cstheme="minorHAnsi"/>
        </w:rPr>
        <w:t>aukstumapgādē</w:t>
      </w:r>
      <w:proofErr w:type="spellEnd"/>
      <w:r w:rsidRPr="00C15715">
        <w:rPr>
          <w:rFonts w:asciiTheme="minorHAnsi" w:hAnsiTheme="minorHAnsi" w:cstheme="minorHAnsi"/>
        </w:rPr>
        <w:t xml:space="preserve"> un AE īpatsvara elektroenerģijā indikatīvās attīstības līknes, kur 2017.gadā Latvija ir jau pārsniegusi arī 2020.gada LRRAEJ plānā noteikto AE īpatsvara siltumapgādē un </w:t>
      </w:r>
      <w:proofErr w:type="spellStart"/>
      <w:r w:rsidRPr="00C15715">
        <w:rPr>
          <w:rFonts w:asciiTheme="minorHAnsi" w:hAnsiTheme="minorHAnsi" w:cstheme="minorHAnsi"/>
        </w:rPr>
        <w:t>aukstumapgādē</w:t>
      </w:r>
      <w:proofErr w:type="spellEnd"/>
      <w:r w:rsidRPr="00C15715">
        <w:rPr>
          <w:rFonts w:asciiTheme="minorHAnsi" w:hAnsiTheme="minorHAnsi" w:cstheme="minorHAnsi"/>
        </w:rPr>
        <w:t xml:space="preserve"> mērķi 2020.gadam, bet AE īpatsvara elektroenerģijā 2020.gada mērķa sasniegšanai Latvijai ir nepieciešams palielināt šo īpatsvaru vēl par 5,5 procentpunktiem. Savukārt, lai izpildītu ES līmenī saistošo AE īpatsvara transportā mērķi, Latvijai vēl ir nepieciešams šī īpatsvara palielinājums par 7,5 procentpunktiem.</w:t>
      </w:r>
    </w:p>
    <w:p w14:paraId="7DF44837" w14:textId="4F7AC9A1" w:rsidR="00D87276" w:rsidRPr="00C15715" w:rsidRDefault="00D87276" w:rsidP="00D87276">
      <w:pPr>
        <w:autoSpaceDE w:val="0"/>
        <w:autoSpaceDN w:val="0"/>
        <w:spacing w:before="120" w:after="120" w:line="240" w:lineRule="auto"/>
        <w:jc w:val="both"/>
        <w:rPr>
          <w:rFonts w:cstheme="minorHAnsi"/>
          <w:szCs w:val="24"/>
        </w:rPr>
      </w:pPr>
      <w:r w:rsidRPr="00C15715">
        <w:rPr>
          <w:rFonts w:cstheme="minorHAnsi"/>
          <w:szCs w:val="24"/>
        </w:rPr>
        <w:t xml:space="preserve">Latvijai noteikto no AER saražotas enerģijas mērķu izpilde katrus divus gadus tiek novērtēta saskaņā ar </w:t>
      </w:r>
      <w:r w:rsidRPr="00C15715">
        <w:rPr>
          <w:rFonts w:eastAsia="Calibri" w:cstheme="minorHAnsi"/>
          <w:szCs w:val="24"/>
        </w:rPr>
        <w:t>Direktīvas 2009/28/EK</w:t>
      </w:r>
      <w:r w:rsidRPr="00C15715">
        <w:rPr>
          <w:rStyle w:val="FootnoteReference"/>
          <w:rFonts w:cstheme="minorHAnsi"/>
          <w:szCs w:val="24"/>
        </w:rPr>
        <w:footnoteReference w:id="12"/>
      </w:r>
      <w:r w:rsidRPr="00C15715">
        <w:rPr>
          <w:rFonts w:cstheme="minorHAnsi"/>
          <w:szCs w:val="24"/>
        </w:rPr>
        <w:t xml:space="preserve">  22.panta pirmo daļu, sagatavojot ziņojumu EK par mērķu izpildi</w:t>
      </w:r>
      <w:r w:rsidRPr="00C15715">
        <w:rPr>
          <w:rStyle w:val="FootnoteReference"/>
          <w:rFonts w:cstheme="minorHAnsi"/>
          <w:szCs w:val="24"/>
        </w:rPr>
        <w:footnoteReference w:id="13"/>
      </w:r>
      <w:r w:rsidRPr="00C15715">
        <w:rPr>
          <w:rFonts w:cstheme="minorHAnsi"/>
          <w:szCs w:val="24"/>
        </w:rPr>
        <w:t xml:space="preserve">. </w:t>
      </w:r>
    </w:p>
    <w:p w14:paraId="1F835E05" w14:textId="77777777" w:rsidR="00D87276" w:rsidRPr="00C15715" w:rsidRDefault="00D87276" w:rsidP="00D87276">
      <w:pPr>
        <w:pStyle w:val="Heading4"/>
        <w:rPr>
          <w:rStyle w:val="normaltextrun"/>
        </w:rPr>
      </w:pPr>
      <w:r w:rsidRPr="00C15715">
        <w:rPr>
          <w:rStyle w:val="normaltextrun"/>
        </w:rPr>
        <w:t>Indikatīvās attīstības prognozes </w:t>
      </w:r>
    </w:p>
    <w:p w14:paraId="0DBA98FF"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i/>
          <w:iCs/>
        </w:rPr>
      </w:pPr>
      <w:r w:rsidRPr="00C15715">
        <w:rPr>
          <w:rFonts w:asciiTheme="minorHAnsi" w:hAnsiTheme="minorHAnsi" w:cstheme="minorHAnsi"/>
          <w:i/>
          <w:iCs/>
        </w:rPr>
        <w:t>Tiks papildināts.</w:t>
      </w:r>
    </w:p>
    <w:p w14:paraId="4A8C246F"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rPr>
      </w:pPr>
    </w:p>
    <w:p w14:paraId="7D5EA032" w14:textId="77777777" w:rsidR="00D87276" w:rsidRPr="00C15715" w:rsidRDefault="00D87276" w:rsidP="00D87276">
      <w:pPr>
        <w:pStyle w:val="Heading20"/>
      </w:pPr>
      <w:bookmarkStart w:id="5" w:name="_Toc17878291"/>
      <w:r w:rsidRPr="00C15715">
        <w:rPr>
          <w:rStyle w:val="normaltextrun"/>
        </w:rPr>
        <w:t>Energoefektivitāte</w:t>
      </w:r>
      <w:bookmarkEnd w:id="5"/>
      <w:r w:rsidRPr="00C15715">
        <w:rPr>
          <w:rStyle w:val="normaltextrun"/>
        </w:rPr>
        <w:t> </w:t>
      </w:r>
      <w:r w:rsidRPr="00C15715">
        <w:rPr>
          <w:rStyle w:val="eop"/>
        </w:rPr>
        <w:t> </w:t>
      </w:r>
    </w:p>
    <w:p w14:paraId="32349141" w14:textId="77777777" w:rsidR="00D87276" w:rsidRPr="00C15715" w:rsidRDefault="00D87276" w:rsidP="00D87276">
      <w:pPr>
        <w:pStyle w:val="Heading30"/>
      </w:pPr>
      <w:r w:rsidRPr="00C15715">
        <w:rPr>
          <w:rStyle w:val="normaltextrun"/>
        </w:rPr>
        <w:t>Esošais enerģijas patēriņš</w:t>
      </w:r>
      <w:r w:rsidRPr="00C15715">
        <w:rPr>
          <w:rStyle w:val="eop"/>
        </w:rPr>
        <w:t> </w:t>
      </w:r>
    </w:p>
    <w:p w14:paraId="25B54474" w14:textId="7E159ABB" w:rsidR="00D87276" w:rsidRPr="00C15715" w:rsidRDefault="00D87276" w:rsidP="00D87276">
      <w:pPr>
        <w:pStyle w:val="paragraph"/>
        <w:spacing w:before="120" w:beforeAutospacing="0" w:after="120" w:afterAutospacing="0"/>
        <w:jc w:val="both"/>
        <w:textAlignment w:val="baseline"/>
        <w:rPr>
          <w:rStyle w:val="eop"/>
          <w:rFonts w:asciiTheme="minorHAnsi" w:eastAsiaTheme="majorEastAsia" w:hAnsiTheme="minorHAnsi" w:cstheme="minorHAnsi"/>
        </w:rPr>
      </w:pPr>
      <w:r w:rsidRPr="00C15715">
        <w:rPr>
          <w:rFonts w:asciiTheme="minorHAnsi" w:hAnsiTheme="minorHAnsi" w:cstheme="minorHAnsi"/>
          <w:bCs/>
          <w:color w:val="000000"/>
        </w:rPr>
        <w:t xml:space="preserve">Kopējais primārās enerģijas patēriņš 2018.gadā </w:t>
      </w:r>
      <w:r w:rsidR="00A609AB">
        <w:rPr>
          <w:rFonts w:asciiTheme="minorHAnsi" w:hAnsiTheme="minorHAnsi" w:cstheme="minorHAnsi"/>
          <w:bCs/>
          <w:color w:val="000000"/>
        </w:rPr>
        <w:t xml:space="preserve">bija </w:t>
      </w:r>
      <w:r w:rsidRPr="00C15715">
        <w:rPr>
          <w:rFonts w:asciiTheme="minorHAnsi" w:hAnsiTheme="minorHAnsi" w:cstheme="minorHAnsi"/>
          <w:bCs/>
          <w:color w:val="000000"/>
        </w:rPr>
        <w:t>202,3 PJ</w:t>
      </w:r>
      <w:r w:rsidRPr="00C15715">
        <w:rPr>
          <w:rStyle w:val="FootnoteReference"/>
          <w:rFonts w:asciiTheme="minorHAnsi" w:hAnsiTheme="minorHAnsi" w:cstheme="minorHAnsi"/>
          <w:bCs/>
          <w:color w:val="000000"/>
        </w:rPr>
        <w:footnoteReference w:id="14"/>
      </w:r>
      <w:r w:rsidRPr="00C15715">
        <w:rPr>
          <w:rFonts w:asciiTheme="minorHAnsi" w:hAnsiTheme="minorHAnsi" w:cstheme="minorHAnsi"/>
          <w:color w:val="000000"/>
        </w:rPr>
        <w:t xml:space="preserve">. Periodā no 2011.gada līdz 2016.gadam kopējais primārās enerģijas patēriņš nav būtiski mainījies, tomēr 2016.-2018.g. periodā </w:t>
      </w:r>
      <w:r w:rsidR="00A609AB">
        <w:rPr>
          <w:rFonts w:asciiTheme="minorHAnsi" w:hAnsiTheme="minorHAnsi" w:cstheme="minorHAnsi"/>
          <w:color w:val="000000"/>
        </w:rPr>
        <w:t xml:space="preserve">kopējais primārās enerģijas patēriņš nepārtraukti palielinās, un periodā palielinājums jau sasniedz </w:t>
      </w:r>
      <w:r w:rsidRPr="00C15715">
        <w:rPr>
          <w:rFonts w:asciiTheme="minorHAnsi" w:hAnsiTheme="minorHAnsi" w:cstheme="minorHAnsi"/>
          <w:color w:val="000000"/>
        </w:rPr>
        <w:t>apmēram 10%.</w:t>
      </w:r>
    </w:p>
    <w:p w14:paraId="360FE7D0" w14:textId="77777777" w:rsidR="00D87276" w:rsidRPr="00C15715" w:rsidRDefault="00D87276" w:rsidP="00D87276">
      <w:pPr>
        <w:autoSpaceDE w:val="0"/>
        <w:autoSpaceDN w:val="0"/>
        <w:adjustRightInd w:val="0"/>
        <w:spacing w:before="120" w:after="120" w:line="240" w:lineRule="auto"/>
        <w:jc w:val="center"/>
        <w:rPr>
          <w:rFonts w:cstheme="minorHAnsi"/>
          <w:szCs w:val="24"/>
        </w:rPr>
      </w:pPr>
      <w:r w:rsidRPr="00C15715">
        <w:rPr>
          <w:rFonts w:cstheme="minorHAnsi"/>
          <w:noProof/>
        </w:rPr>
        <w:lastRenderedPageBreak/>
        <w:drawing>
          <wp:inline distT="0" distB="0" distL="0" distR="0" wp14:anchorId="332305E0" wp14:editId="3F4822D4">
            <wp:extent cx="4649771" cy="293946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645" cy="2956457"/>
                    </a:xfrm>
                    <a:prstGeom prst="rect">
                      <a:avLst/>
                    </a:prstGeom>
                    <a:noFill/>
                  </pic:spPr>
                </pic:pic>
              </a:graphicData>
            </a:graphic>
          </wp:inline>
        </w:drawing>
      </w:r>
    </w:p>
    <w:p w14:paraId="1B3CEFF4" w14:textId="518385C8"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9</w:t>
      </w:r>
      <w:r w:rsidRPr="00C15715">
        <w:rPr>
          <w:rFonts w:asciiTheme="minorHAnsi" w:hAnsiTheme="minorHAnsi" w:cstheme="minorHAnsi"/>
          <w:noProof/>
        </w:rPr>
        <w:fldChar w:fldCharType="end"/>
      </w:r>
      <w:r w:rsidRPr="00C15715">
        <w:rPr>
          <w:rFonts w:asciiTheme="minorHAnsi" w:hAnsiTheme="minorHAnsi" w:cstheme="minorHAnsi"/>
        </w:rPr>
        <w:t xml:space="preserve">. attēls. Kopējais primārās enerģijas patēriņš un enerģijas </w:t>
      </w:r>
      <w:proofErr w:type="spellStart"/>
      <w:r w:rsidRPr="00C15715">
        <w:rPr>
          <w:rFonts w:asciiTheme="minorHAnsi" w:hAnsiTheme="minorHAnsi" w:cstheme="minorHAnsi"/>
        </w:rPr>
        <w:t>galapatēriņš</w:t>
      </w:r>
      <w:proofErr w:type="spellEnd"/>
      <w:r w:rsidRPr="00C15715">
        <w:rPr>
          <w:rFonts w:asciiTheme="minorHAnsi" w:hAnsiTheme="minorHAnsi" w:cstheme="minorHAnsi"/>
        </w:rPr>
        <w:t xml:space="preserve"> Latvijā 1990-2018.g. (PJ)</w:t>
      </w:r>
      <w:r w:rsidRPr="00C15715">
        <w:rPr>
          <w:rStyle w:val="FootnoteReference"/>
          <w:rFonts w:asciiTheme="minorHAnsi" w:hAnsiTheme="minorHAnsi" w:cstheme="minorHAnsi"/>
        </w:rPr>
        <w:footnoteReference w:id="15"/>
      </w:r>
    </w:p>
    <w:p w14:paraId="0BCE31DF" w14:textId="5514EA9D" w:rsidR="00D87276" w:rsidRPr="00C15715" w:rsidRDefault="00D87276" w:rsidP="00D87276">
      <w:pPr>
        <w:spacing w:before="120" w:after="120" w:line="240" w:lineRule="auto"/>
        <w:jc w:val="both"/>
        <w:rPr>
          <w:rFonts w:cstheme="minorHAnsi"/>
          <w:color w:val="000000"/>
          <w:szCs w:val="24"/>
        </w:rPr>
      </w:pPr>
      <w:r w:rsidRPr="00C15715">
        <w:rPr>
          <w:rFonts w:cstheme="minorHAnsi"/>
          <w:color w:val="000000"/>
          <w:szCs w:val="24"/>
        </w:rPr>
        <w:t xml:space="preserve">Siltumenerģijas un elektroenerģijas ražošanai (pārveidošanas sektorā) 2018.gadā patērēja 58,1 PJ energoresursu un saražoja 44,7 PJ enerģijas (no tās 29,7 PJ siltumenerģijas un 15,0 PJ elektroenerģijas), kas ir par 9,6 % vairāk salīdzinājumā ar 2017. gadu. Karstais un sausais laiks būtiski ietekmēja iespēju HES saražot nepieciešamo elektroenerģijas apjomu, kas sekmēja dabasgāzes patēriņa pieaugumu pārveidošanas sektorā, kā rezultātā ir pieaudzis arī dabasgāzes īpatsvars sektorā par 5,2 procentpunktiem salīdzinājumā ar 2017. gadu. Siltumenerģijas un elektroenerģijas ražošanai </w:t>
      </w:r>
      <w:r w:rsidR="00A609AB">
        <w:rPr>
          <w:rFonts w:cstheme="minorHAnsi"/>
          <w:color w:val="000000"/>
          <w:szCs w:val="24"/>
        </w:rPr>
        <w:t xml:space="preserve">pārveidošanas sektorā (koģenerācijas iekārtās un katlu mājās) </w:t>
      </w:r>
      <w:r w:rsidRPr="00C15715">
        <w:rPr>
          <w:rFonts w:cstheme="minorHAnsi"/>
          <w:color w:val="000000"/>
          <w:szCs w:val="24"/>
        </w:rPr>
        <w:t>Latvijā pārsvarā izmanto fosilo energoresursu – dabasgāzi, kuras īpatsvars pārveidošanas sektorā pakāpeniski samazinās: 2010. gadā – 81 %, 2017. gadā – 53,7 %, 2018. gadā – 59,0 %. Piecu gadu laikā pārveidošanas sektorā patērēto AER īpatsvars pieaudzis par 5,4 procentpunktiem un 2017. gadā sasniedza 40,5 %. Tas ir svarīgs rādītājs, ņemot vērā, ka AER, kurus izmanto pārveidošanas sektorā, ir vietējie energoresursi: kurināmā koksne, biogāze un cita biomasa.</w:t>
      </w:r>
    </w:p>
    <w:p w14:paraId="005BDD68"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Energoresursu </w:t>
      </w:r>
      <w:proofErr w:type="spellStart"/>
      <w:r w:rsidRPr="00C15715">
        <w:rPr>
          <w:rFonts w:asciiTheme="minorHAnsi" w:hAnsiTheme="minorHAnsi" w:cstheme="minorHAnsi"/>
        </w:rPr>
        <w:t>galapatēriņš</w:t>
      </w:r>
      <w:proofErr w:type="spellEnd"/>
      <w:r w:rsidRPr="00C15715">
        <w:rPr>
          <w:rFonts w:asciiTheme="minorHAnsi" w:hAnsiTheme="minorHAnsi" w:cstheme="minorHAnsi"/>
        </w:rPr>
        <w:t xml:space="preserve"> 2018.gadā bija 178,8 PJ, kas ir par 12% vairāk nekā 2016.gadā. Lielākais energoresursu patērētājs 2018.gadā bija transports, kas patērēja 30,1 %, tad mājsaimniecības (28,8%) un rūpniecība (22,8%). Salīdzinot ar 2017. gadu, 2018.gadā energoresursu </w:t>
      </w:r>
      <w:proofErr w:type="spellStart"/>
      <w:r w:rsidRPr="00C15715">
        <w:rPr>
          <w:rFonts w:asciiTheme="minorHAnsi" w:hAnsiTheme="minorHAnsi" w:cstheme="minorHAnsi"/>
        </w:rPr>
        <w:t>galapatēriņa</w:t>
      </w:r>
      <w:proofErr w:type="spellEnd"/>
      <w:r w:rsidRPr="00C15715">
        <w:rPr>
          <w:rFonts w:asciiTheme="minorHAnsi" w:hAnsiTheme="minorHAnsi" w:cstheme="minorHAnsi"/>
        </w:rPr>
        <w:t xml:space="preserve"> pieaugums ir vērojams transportā (+3,7 %), rūpniecībā (+13,3%) un mājsaimniecībās (+2,9%), savukārt energoresursu patēriņa samazinājums novērots lauksaimniecībā un mežsaimniecībā (-3,7%) un komerciālajā un sabiedriskajā sektorā (-2,7%).</w:t>
      </w:r>
    </w:p>
    <w:p w14:paraId="5F498465" w14:textId="77777777" w:rsidR="00D87276" w:rsidRPr="00C15715" w:rsidRDefault="00D87276" w:rsidP="00D87276">
      <w:pPr>
        <w:pStyle w:val="paragraph"/>
        <w:spacing w:before="0" w:beforeAutospacing="0" w:after="0" w:afterAutospacing="0"/>
        <w:jc w:val="center"/>
        <w:textAlignment w:val="baseline"/>
        <w:rPr>
          <w:rStyle w:val="eop"/>
          <w:rFonts w:asciiTheme="minorHAnsi" w:eastAsiaTheme="majorEastAsia" w:hAnsiTheme="minorHAnsi" w:cstheme="minorHAnsi"/>
        </w:rPr>
      </w:pPr>
      <w:r w:rsidRPr="00C15715">
        <w:rPr>
          <w:rStyle w:val="eop"/>
          <w:rFonts w:asciiTheme="minorHAnsi" w:eastAsiaTheme="majorEastAsia" w:hAnsiTheme="minorHAnsi" w:cstheme="minorHAnsi"/>
          <w:noProof/>
        </w:rPr>
        <w:lastRenderedPageBreak/>
        <w:drawing>
          <wp:inline distT="0" distB="0" distL="0" distR="0" wp14:anchorId="192C70DD" wp14:editId="32F33FEE">
            <wp:extent cx="4757065" cy="290286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0144" cy="2916944"/>
                    </a:xfrm>
                    <a:prstGeom prst="rect">
                      <a:avLst/>
                    </a:prstGeom>
                    <a:noFill/>
                  </pic:spPr>
                </pic:pic>
              </a:graphicData>
            </a:graphic>
          </wp:inline>
        </w:drawing>
      </w:r>
    </w:p>
    <w:p w14:paraId="2268F794" w14:textId="78748716" w:rsidR="00D87276" w:rsidRPr="00C15715" w:rsidRDefault="00D87276" w:rsidP="00D87276">
      <w:pPr>
        <w:pStyle w:val="Caption"/>
        <w:rPr>
          <w:rStyle w:val="eop"/>
          <w:rFonts w:asciiTheme="minorHAnsi" w:hAnsiTheme="minorHAnsi" w:cstheme="minorHAnsi"/>
        </w:rPr>
      </w:pPr>
      <w:r w:rsidRPr="00C15715">
        <w:rPr>
          <w:rStyle w:val="eop"/>
          <w:rFonts w:asciiTheme="minorHAnsi" w:hAnsiTheme="minorHAnsi" w:cstheme="minorHAnsi"/>
        </w:rPr>
        <w:fldChar w:fldCharType="begin"/>
      </w:r>
      <w:r w:rsidRPr="00C15715">
        <w:rPr>
          <w:rStyle w:val="eop"/>
          <w:rFonts w:asciiTheme="minorHAnsi" w:hAnsiTheme="minorHAnsi" w:cstheme="minorHAnsi"/>
        </w:rPr>
        <w:instrText xml:space="preserve"> SEQ Ilustrācija \* ARABIC </w:instrText>
      </w:r>
      <w:r w:rsidRPr="00C15715">
        <w:rPr>
          <w:rStyle w:val="eop"/>
          <w:rFonts w:asciiTheme="minorHAnsi" w:hAnsiTheme="minorHAnsi" w:cstheme="minorHAnsi"/>
        </w:rPr>
        <w:fldChar w:fldCharType="separate"/>
      </w:r>
      <w:r w:rsidR="001121B4">
        <w:rPr>
          <w:rStyle w:val="eop"/>
          <w:rFonts w:asciiTheme="minorHAnsi" w:hAnsiTheme="minorHAnsi" w:cstheme="minorHAnsi"/>
          <w:noProof/>
        </w:rPr>
        <w:t>10</w:t>
      </w:r>
      <w:r w:rsidRPr="00C15715">
        <w:rPr>
          <w:rStyle w:val="eop"/>
          <w:rFonts w:asciiTheme="minorHAnsi" w:hAnsiTheme="minorHAnsi" w:cstheme="minorHAnsi"/>
        </w:rPr>
        <w:fldChar w:fldCharType="end"/>
      </w:r>
      <w:r w:rsidRPr="00C15715">
        <w:rPr>
          <w:rFonts w:asciiTheme="minorHAnsi" w:hAnsiTheme="minorHAnsi" w:cstheme="minorHAnsi"/>
        </w:rPr>
        <w:t xml:space="preserve">.attēls. Latvijas enerģijas </w:t>
      </w:r>
      <w:proofErr w:type="spellStart"/>
      <w:r w:rsidRPr="00C15715">
        <w:rPr>
          <w:rFonts w:asciiTheme="minorHAnsi" w:hAnsiTheme="minorHAnsi" w:cstheme="minorHAnsi"/>
        </w:rPr>
        <w:t>galapatēriņa</w:t>
      </w:r>
      <w:proofErr w:type="spellEnd"/>
      <w:r w:rsidRPr="00C15715">
        <w:rPr>
          <w:rFonts w:asciiTheme="minorHAnsi" w:hAnsiTheme="minorHAnsi" w:cstheme="minorHAnsi"/>
        </w:rPr>
        <w:t xml:space="preserve"> sadalījums pa nozarēm 2008.-2018. gadā</w:t>
      </w:r>
      <w:r w:rsidRPr="00C15715">
        <w:rPr>
          <w:rStyle w:val="FootnoteReference"/>
          <w:rFonts w:asciiTheme="minorHAnsi" w:hAnsiTheme="minorHAnsi" w:cstheme="minorHAnsi"/>
        </w:rPr>
        <w:footnoteReference w:id="16"/>
      </w:r>
      <w:r w:rsidRPr="00C15715">
        <w:rPr>
          <w:rFonts w:asciiTheme="minorHAnsi" w:hAnsiTheme="minorHAnsi" w:cstheme="minorHAnsi"/>
        </w:rPr>
        <w:t xml:space="preserve"> </w:t>
      </w:r>
    </w:p>
    <w:p w14:paraId="2FEEA54F"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 xml:space="preserve">Energoresursu patēriņš rūpniecībā pēdējo piecu gadu laikā ir pieaudzis par 12,8% un 2018.gadā sasniedza 40,7 PJ. Lielākais energoresursu patēriņš 2018.gadā bija koksnes, koka un korķu izstrādājumu ražošanas nozarē – 20,7 PJ jeb 50,4% no energoresursu </w:t>
      </w:r>
      <w:proofErr w:type="spellStart"/>
      <w:r w:rsidRPr="00C15715">
        <w:rPr>
          <w:rFonts w:asciiTheme="minorHAnsi" w:hAnsiTheme="minorHAnsi" w:cstheme="minorHAnsi"/>
          <w:color w:val="000000"/>
        </w:rPr>
        <w:t>galapatēriņa</w:t>
      </w:r>
      <w:proofErr w:type="spellEnd"/>
      <w:r w:rsidRPr="00C15715">
        <w:rPr>
          <w:rFonts w:asciiTheme="minorHAnsi" w:hAnsiTheme="minorHAnsi" w:cstheme="minorHAnsi"/>
          <w:color w:val="000000"/>
        </w:rPr>
        <w:t xml:space="preserve"> rūpniecībā. Salīdzinot ar 2017.gadu, šajā nozarē enerģijas patēriņš pieaudzis par 5,5%, ko sekmēja koksnes granulu patēriņa pieaugums. 2018.gadā metālu ražošanas nozarē bija vislielākais energoresursu patēriņa samazinājums (-7,9 %), salīdzinot ar 2017.gadu.</w:t>
      </w:r>
    </w:p>
    <w:p w14:paraId="7148988B" w14:textId="77777777" w:rsidR="00D87276" w:rsidRPr="00C15715" w:rsidRDefault="00D87276" w:rsidP="00D87276">
      <w:pPr>
        <w:spacing w:before="120" w:after="120" w:line="240" w:lineRule="auto"/>
        <w:jc w:val="both"/>
        <w:rPr>
          <w:rFonts w:cstheme="minorHAnsi"/>
        </w:rPr>
      </w:pPr>
      <w:r w:rsidRPr="00C15715">
        <w:rPr>
          <w:rFonts w:cstheme="minorHAnsi"/>
          <w:color w:val="000000"/>
        </w:rPr>
        <w:t>Energoresursu patēriņš mājsaimniecībās 2018. gadā bija 51,5 PJ, kas ir par 2,9% vairāk nekā 2017.gadā. Mājsaimniecībās energoresursu patēriņa struktūra pēdējos gados būtiski nemainās – pārsvarā ir izmantota kurināmā koksne. Salīdzinājumā ar 2017.gadu ievērojami pieauga dabasgāzes patēriņš mājsaimniecībās (+9,3%) un samazinājās ogļu patēriņš (-32,7%).</w:t>
      </w:r>
    </w:p>
    <w:p w14:paraId="09110C54" w14:textId="6B8AC3AF"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 xml:space="preserve">Piecu gadu laikā energoresursu patēriņš transportā ir pieaudzis par 16,4%, 2018.gadā sasniedzot 53,9 PJ. Tas veido aptuveni trešo daļu no Latvijas energoresursu patēriņa, un gandrīz pilnībā balstās uz naftas produktu importu, jo elektroenerģijas un biodegvielas īpatsvars transportā ir salīdzinoši mazs. Dīzeļdegviela ir galvenais transportā izmantotais energoresurss, un tās īpatsvars 2018. gadā bija 64,3 %. </w:t>
      </w:r>
      <w:r w:rsidRPr="00C15715">
        <w:rPr>
          <w:rFonts w:asciiTheme="minorHAnsi" w:hAnsiTheme="minorHAnsi" w:cstheme="minorHAnsi"/>
        </w:rPr>
        <w:t>Dīzeļdegviela ir svarīgs resurss kravu pārvadājumiem, kas ir nozīmīgs ekonomikas sektors Latvijā, ņemot vērā Latvijas ģeogrāfisko novietojumu. Būtiski, ka dīzeļdegviela ir ļoti svarīgs resurss lauksaimniecības nozares attīstībai.</w:t>
      </w:r>
      <w:r w:rsidRPr="00C15715">
        <w:rPr>
          <w:rStyle w:val="A11"/>
          <w:rFonts w:asciiTheme="minorHAnsi" w:hAnsiTheme="minorHAnsi" w:cstheme="minorHAnsi"/>
          <w:color w:val="auto"/>
          <w:sz w:val="24"/>
          <w:szCs w:val="24"/>
        </w:rPr>
        <w:t xml:space="preserve"> </w:t>
      </w:r>
      <w:r w:rsidRPr="00C15715">
        <w:rPr>
          <w:rFonts w:asciiTheme="minorHAnsi" w:hAnsiTheme="minorHAnsi" w:cstheme="minorHAnsi"/>
          <w:color w:val="000000"/>
        </w:rPr>
        <w:t xml:space="preserve">Pēdējos gados transportā novērots sašķidrinātas naftas gāzes patēriņa īpatsvara pieaugums, tomēr salīdzinot ar 2017.gadu, sašķidrinātas naftas gāzes patēriņš ir samazinājies par 5,2%. Auto benzīna patēriņš transportā piecu gadu laikā samazinājies par 10,6 %, 2018. gadā sasniedzot 7,7 PJ, kas ir par 4,1 % mazāk nekā 2017. gadā. Galvenais iemesls degvielas patēriņa pieaugumam autotransportā bija </w:t>
      </w:r>
      <w:r w:rsidR="00A609AB" w:rsidRPr="003D7C93">
        <w:rPr>
          <w:rFonts w:asciiTheme="minorHAnsi" w:hAnsiTheme="minorHAnsi" w:cstheme="minorHAnsi"/>
        </w:rPr>
        <w:t xml:space="preserve">pasažieru kilometru skaita pieaugums </w:t>
      </w:r>
      <w:r w:rsidR="00A609AB">
        <w:rPr>
          <w:rFonts w:asciiTheme="minorHAnsi" w:hAnsiTheme="minorHAnsi" w:cstheme="minorHAnsi"/>
        </w:rPr>
        <w:t xml:space="preserve">un </w:t>
      </w:r>
      <w:r w:rsidR="00A609AB" w:rsidRPr="003D7C93">
        <w:rPr>
          <w:rFonts w:asciiTheme="minorHAnsi" w:hAnsiTheme="minorHAnsi" w:cstheme="minorHAnsi"/>
        </w:rPr>
        <w:t>pasažieru automašīnu skaita pieaugums 2014.-2018.g</w:t>
      </w:r>
      <w:r w:rsidR="00A609AB">
        <w:rPr>
          <w:rFonts w:asciiTheme="minorHAnsi" w:hAnsiTheme="minorHAnsi" w:cstheme="minorHAnsi"/>
        </w:rPr>
        <w:t>ada</w:t>
      </w:r>
      <w:r w:rsidR="00A609AB" w:rsidRPr="003D7C93">
        <w:rPr>
          <w:rFonts w:asciiTheme="minorHAnsi" w:hAnsiTheme="minorHAnsi" w:cstheme="minorHAnsi"/>
        </w:rPr>
        <w:t xml:space="preserve"> periodā</w:t>
      </w:r>
      <w:r w:rsidR="00A609AB">
        <w:rPr>
          <w:rFonts w:asciiTheme="minorHAnsi" w:hAnsiTheme="minorHAnsi" w:cstheme="minorHAnsi"/>
        </w:rPr>
        <w:t xml:space="preserve"> par </w:t>
      </w:r>
      <w:r w:rsidR="00A609AB" w:rsidRPr="003D7C93">
        <w:rPr>
          <w:rFonts w:asciiTheme="minorHAnsi" w:hAnsiTheme="minorHAnsi" w:cstheme="minorHAnsi"/>
        </w:rPr>
        <w:t>apmēram 7%  gadā.</w:t>
      </w:r>
    </w:p>
    <w:p w14:paraId="6E12A17E" w14:textId="10690E87" w:rsidR="00D87276" w:rsidRPr="00C15715" w:rsidRDefault="00A609AB" w:rsidP="00D87276">
      <w:pPr>
        <w:spacing w:before="120" w:after="120" w:line="240" w:lineRule="auto"/>
        <w:jc w:val="center"/>
        <w:rPr>
          <w:rFonts w:eastAsia="Times New Roman" w:cstheme="minorHAnsi"/>
          <w:color w:val="000000"/>
          <w:szCs w:val="24"/>
          <w:lang w:eastAsia="lv-LV"/>
        </w:rPr>
      </w:pPr>
      <w:bookmarkStart w:id="6" w:name="_Hlk9233990"/>
      <w:r>
        <w:rPr>
          <w:rFonts w:eastAsia="Times New Roman" w:cstheme="minorHAnsi"/>
          <w:noProof/>
          <w:color w:val="000000"/>
          <w:szCs w:val="24"/>
          <w:lang w:eastAsia="lv-LV"/>
        </w:rPr>
        <w:lastRenderedPageBreak/>
        <w:drawing>
          <wp:inline distT="0" distB="0" distL="0" distR="0" wp14:anchorId="64426CFF" wp14:editId="648B00C7">
            <wp:extent cx="4543892" cy="251766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4992" cy="2534901"/>
                    </a:xfrm>
                    <a:prstGeom prst="rect">
                      <a:avLst/>
                    </a:prstGeom>
                    <a:noFill/>
                  </pic:spPr>
                </pic:pic>
              </a:graphicData>
            </a:graphic>
          </wp:inline>
        </w:drawing>
      </w:r>
    </w:p>
    <w:p w14:paraId="5BCA5AB4" w14:textId="7C2A7FE8"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11</w:t>
      </w:r>
      <w:r w:rsidRPr="00C15715">
        <w:rPr>
          <w:rFonts w:asciiTheme="minorHAnsi" w:hAnsiTheme="minorHAnsi" w:cstheme="minorHAnsi"/>
          <w:noProof/>
        </w:rPr>
        <w:fldChar w:fldCharType="end"/>
      </w:r>
      <w:r w:rsidRPr="00C15715">
        <w:rPr>
          <w:rFonts w:asciiTheme="minorHAnsi" w:hAnsiTheme="minorHAnsi" w:cstheme="minorHAnsi"/>
        </w:rPr>
        <w:t>.attēls. Transporta enerģijas patēriņa īpatsvars 2018.gadā (%)</w:t>
      </w:r>
      <w:r w:rsidRPr="00C15715">
        <w:rPr>
          <w:rStyle w:val="FootnoteReference"/>
          <w:rFonts w:asciiTheme="minorHAnsi" w:hAnsiTheme="minorHAnsi" w:cstheme="minorHAnsi"/>
          <w:b w:val="0"/>
        </w:rPr>
        <w:footnoteReference w:id="17"/>
      </w:r>
    </w:p>
    <w:bookmarkEnd w:id="6"/>
    <w:p w14:paraId="5FA4127A" w14:textId="63EA370A" w:rsidR="00D52B34" w:rsidRPr="00C15715" w:rsidRDefault="00D87276" w:rsidP="00D87276">
      <w:pPr>
        <w:spacing w:before="120" w:after="120" w:line="240" w:lineRule="auto"/>
        <w:jc w:val="both"/>
        <w:rPr>
          <w:rFonts w:cstheme="minorHAnsi"/>
          <w:szCs w:val="24"/>
        </w:rPr>
      </w:pPr>
      <w:r w:rsidRPr="00C15715">
        <w:rPr>
          <w:rFonts w:cstheme="minorHAnsi"/>
          <w:szCs w:val="24"/>
        </w:rPr>
        <w:t xml:space="preserve">2018.gadā salīdzinot ar 2017.gadu vislielākais transporta enerģijas patēriņa pieaugums ir novērots iekšzemes kuģošanā – </w:t>
      </w:r>
      <w:r w:rsidR="00A609AB">
        <w:rPr>
          <w:rFonts w:cstheme="minorHAnsi"/>
          <w:szCs w:val="24"/>
        </w:rPr>
        <w:t>42,2</w:t>
      </w:r>
      <w:r w:rsidRPr="00C15715">
        <w:rPr>
          <w:rFonts w:cstheme="minorHAnsi"/>
          <w:szCs w:val="24"/>
        </w:rPr>
        <w:t xml:space="preserve">%, un starptautiskajā gaisa transportā – </w:t>
      </w:r>
      <w:r w:rsidR="00A609AB">
        <w:rPr>
          <w:rFonts w:cstheme="minorHAnsi"/>
          <w:szCs w:val="24"/>
        </w:rPr>
        <w:t>9,5</w:t>
      </w:r>
      <w:r w:rsidRPr="00C15715">
        <w:rPr>
          <w:rFonts w:cstheme="minorHAnsi"/>
          <w:szCs w:val="24"/>
        </w:rPr>
        <w:t xml:space="preserve">%, savukārt </w:t>
      </w:r>
      <w:r w:rsidR="00A609AB">
        <w:rPr>
          <w:rFonts w:cstheme="minorHAnsi"/>
          <w:szCs w:val="24"/>
        </w:rPr>
        <w:t>iekšzemes gaisa transportā</w:t>
      </w:r>
      <w:r w:rsidRPr="00C15715">
        <w:rPr>
          <w:rFonts w:cstheme="minorHAnsi"/>
          <w:szCs w:val="24"/>
        </w:rPr>
        <w:t xml:space="preserve"> un cauruļvadu transportā ir novērots transporta enerģijas patēriņa samazinājums. Ņemot vērā nepārtraukto sektora attīstību starptautiskais gaisa transports 2018.gadā ir otrs lielākais transporta enerģijas patēriņš aiz autotransporta ar 11,9% īpatsvaru transporta enerģijas patēriņā, bet dzelzceļa transports ir trešais lielākais transporta enerģijas patērētājs ar 4,8% no kopējā enerģijas patēriņa transportā.</w:t>
      </w:r>
      <w:r w:rsidR="00EB5652">
        <w:rPr>
          <w:rFonts w:cstheme="minorHAnsi"/>
          <w:szCs w:val="24"/>
        </w:rPr>
        <w:t xml:space="preserve"> </w:t>
      </w:r>
      <w:r w:rsidR="00D52B34" w:rsidRPr="00D52B34">
        <w:rPr>
          <w:rFonts w:cstheme="minorHAnsi"/>
          <w:szCs w:val="24"/>
        </w:rPr>
        <w:t xml:space="preserve">Īstenojot dzelzceļa elektrifikācijas projektu, tiks nodrošināta pāreja no </w:t>
      </w:r>
      <w:proofErr w:type="spellStart"/>
      <w:r w:rsidR="00D52B34" w:rsidRPr="00D52B34">
        <w:rPr>
          <w:rFonts w:cstheme="minorHAnsi"/>
          <w:szCs w:val="24"/>
        </w:rPr>
        <w:t>dīzeļvilces</w:t>
      </w:r>
      <w:proofErr w:type="spellEnd"/>
      <w:r w:rsidR="00D52B34" w:rsidRPr="00D52B34">
        <w:rPr>
          <w:rFonts w:cstheme="minorHAnsi"/>
          <w:szCs w:val="24"/>
        </w:rPr>
        <w:t xml:space="preserve"> uz </w:t>
      </w:r>
      <w:proofErr w:type="spellStart"/>
      <w:r w:rsidR="00D52B34" w:rsidRPr="00D52B34">
        <w:rPr>
          <w:rFonts w:cstheme="minorHAnsi"/>
          <w:szCs w:val="24"/>
        </w:rPr>
        <w:t>elektrovilci</w:t>
      </w:r>
      <w:proofErr w:type="spellEnd"/>
      <w:r w:rsidR="00D52B34" w:rsidRPr="00D52B34">
        <w:rPr>
          <w:rFonts w:cstheme="minorHAnsi"/>
          <w:szCs w:val="24"/>
        </w:rPr>
        <w:t>, kas ļaus izmantot energoefektīvākas lokomotīves un  ievērojami samazināt fosilo energoresursu izmantošanu (aprēķinātais samazinājums – līdz 45 126 t CO2 gadā) un padarīt dzelzceļu videi draudzīgāku.</w:t>
      </w:r>
    </w:p>
    <w:p w14:paraId="43A4A102" w14:textId="77777777" w:rsidR="00D87276" w:rsidRPr="00C15715" w:rsidRDefault="00D87276" w:rsidP="00D87276">
      <w:pPr>
        <w:pStyle w:val="Heading4"/>
      </w:pPr>
      <w:r w:rsidRPr="00C15715">
        <w:t xml:space="preserve">Latvijas 2020.gada energoefektivitātes mērķu izpilde </w:t>
      </w:r>
    </w:p>
    <w:p w14:paraId="1DC1AB83"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t xml:space="preserve">Analizējot faktiskās primārās enerģijas patēriņa un enerģijas </w:t>
      </w:r>
      <w:proofErr w:type="spellStart"/>
      <w:r w:rsidRPr="00C15715">
        <w:rPr>
          <w:rFonts w:cstheme="minorHAnsi"/>
          <w:szCs w:val="24"/>
        </w:rPr>
        <w:t>galapatēriņa</w:t>
      </w:r>
      <w:proofErr w:type="spellEnd"/>
      <w:r w:rsidRPr="00C15715">
        <w:rPr>
          <w:rFonts w:cstheme="minorHAnsi"/>
          <w:szCs w:val="24"/>
        </w:rPr>
        <w:t xml:space="preserve"> tendences līdz 2017.gadam, var secināt, ka tās atbilst izvirzītā neobligātā mērķa 2020. gadam sasniegšanai.  </w:t>
      </w:r>
    </w:p>
    <w:p w14:paraId="29DD75A4" w14:textId="3B9AA79E" w:rsidR="00D87276" w:rsidRPr="00C15715" w:rsidRDefault="00E47B85" w:rsidP="00D87276">
      <w:pPr>
        <w:spacing w:after="0" w:line="240" w:lineRule="auto"/>
        <w:jc w:val="center"/>
        <w:rPr>
          <w:rFonts w:cstheme="minorHAnsi"/>
          <w:b/>
          <w:szCs w:val="28"/>
          <w:lang w:bidi="en-US"/>
        </w:rPr>
      </w:pPr>
      <w:r>
        <w:rPr>
          <w:rFonts w:cstheme="minorHAnsi"/>
          <w:b/>
          <w:noProof/>
          <w:szCs w:val="28"/>
          <w:lang w:bidi="en-US"/>
        </w:rPr>
        <w:drawing>
          <wp:inline distT="0" distB="0" distL="0" distR="0" wp14:anchorId="11AC6414" wp14:editId="207B05F3">
            <wp:extent cx="5099332" cy="3031747"/>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0068" cy="3044075"/>
                    </a:xfrm>
                    <a:prstGeom prst="rect">
                      <a:avLst/>
                    </a:prstGeom>
                    <a:noFill/>
                  </pic:spPr>
                </pic:pic>
              </a:graphicData>
            </a:graphic>
          </wp:inline>
        </w:drawing>
      </w:r>
    </w:p>
    <w:p w14:paraId="2FF6DF22" w14:textId="16AC935F"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lastRenderedPageBreak/>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12</w:t>
      </w:r>
      <w:r w:rsidRPr="00C15715">
        <w:rPr>
          <w:rFonts w:asciiTheme="minorHAnsi" w:hAnsiTheme="minorHAnsi" w:cstheme="minorHAnsi"/>
          <w:noProof/>
        </w:rPr>
        <w:fldChar w:fldCharType="end"/>
      </w:r>
      <w:r w:rsidRPr="00C15715">
        <w:rPr>
          <w:rFonts w:asciiTheme="minorHAnsi" w:hAnsiTheme="minorHAnsi" w:cstheme="minorHAnsi"/>
        </w:rPr>
        <w:t xml:space="preserve">.attēls. Prognozētais un faktiskais primārās enerģijas patēriņš un enerģijas </w:t>
      </w:r>
      <w:proofErr w:type="spellStart"/>
      <w:r w:rsidRPr="00C15715">
        <w:rPr>
          <w:rFonts w:asciiTheme="minorHAnsi" w:hAnsiTheme="minorHAnsi" w:cstheme="minorHAnsi"/>
        </w:rPr>
        <w:t>galapatēriņš</w:t>
      </w:r>
      <w:proofErr w:type="spellEnd"/>
      <w:r w:rsidRPr="00C15715">
        <w:rPr>
          <w:rFonts w:asciiTheme="minorHAnsi" w:hAnsiTheme="minorHAnsi" w:cstheme="minorHAnsi"/>
        </w:rPr>
        <w:t xml:space="preserve"> (Direktīvas 2012/27/ES aptvērumā) 2012.-2020.gadam</w:t>
      </w:r>
      <w:r w:rsidR="00E47B85">
        <w:rPr>
          <w:rFonts w:asciiTheme="minorHAnsi" w:hAnsiTheme="minorHAnsi" w:cstheme="minorHAnsi"/>
        </w:rPr>
        <w:t xml:space="preserve"> (PJ)</w:t>
      </w:r>
      <w:r w:rsidRPr="00C15715">
        <w:rPr>
          <w:rStyle w:val="FootnoteReference"/>
          <w:rFonts w:asciiTheme="minorHAnsi" w:hAnsiTheme="minorHAnsi" w:cstheme="minorHAnsi"/>
          <w:b w:val="0"/>
        </w:rPr>
        <w:footnoteReference w:id="18"/>
      </w:r>
    </w:p>
    <w:p w14:paraId="2CDAEAED" w14:textId="77777777" w:rsidR="00D87276" w:rsidRPr="00C15715" w:rsidRDefault="00D87276" w:rsidP="00D87276">
      <w:pPr>
        <w:autoSpaceDE w:val="0"/>
        <w:autoSpaceDN w:val="0"/>
        <w:adjustRightInd w:val="0"/>
        <w:spacing w:before="120" w:after="120" w:line="240" w:lineRule="auto"/>
        <w:jc w:val="both"/>
        <w:rPr>
          <w:rFonts w:cstheme="minorHAnsi"/>
          <w:szCs w:val="24"/>
        </w:rPr>
      </w:pPr>
      <w:r w:rsidRPr="00C15715">
        <w:rPr>
          <w:rFonts w:cstheme="minorHAnsi"/>
          <w:szCs w:val="24"/>
        </w:rPr>
        <w:t xml:space="preserve">No 2014.–2017. gadam alternatīvo enerģijas uzlabošanas pasākumu ieviešanas rezultātā iegūtais kumulatīvais enerģijas ietaupījums līdz 2020. gadam ir 5227 </w:t>
      </w:r>
      <w:proofErr w:type="spellStart"/>
      <w:r w:rsidRPr="00C15715">
        <w:rPr>
          <w:rFonts w:cstheme="minorHAnsi"/>
          <w:szCs w:val="24"/>
        </w:rPr>
        <w:t>GWh</w:t>
      </w:r>
      <w:proofErr w:type="spellEnd"/>
      <w:r w:rsidRPr="00C15715">
        <w:rPr>
          <w:rFonts w:cstheme="minorHAnsi"/>
          <w:szCs w:val="24"/>
        </w:rPr>
        <w:t xml:space="preserve">, jeb 53 % no obligātā kumulatīvā mērķa (9896 </w:t>
      </w:r>
      <w:proofErr w:type="spellStart"/>
      <w:r w:rsidRPr="00C15715">
        <w:rPr>
          <w:rFonts w:cstheme="minorHAnsi"/>
          <w:szCs w:val="24"/>
        </w:rPr>
        <w:t>GWh</w:t>
      </w:r>
      <w:proofErr w:type="spellEnd"/>
      <w:r w:rsidRPr="00C15715">
        <w:rPr>
          <w:rFonts w:cstheme="minorHAnsi"/>
          <w:szCs w:val="24"/>
        </w:rPr>
        <w:t>).</w:t>
      </w:r>
      <w:r w:rsidRPr="00C15715">
        <w:rPr>
          <w:rFonts w:cstheme="minorHAnsi"/>
          <w:iCs/>
          <w:szCs w:val="24"/>
        </w:rPr>
        <w:t xml:space="preserve"> </w:t>
      </w:r>
    </w:p>
    <w:p w14:paraId="65735C30" w14:textId="77777777" w:rsidR="00D87276" w:rsidRPr="00C15715" w:rsidRDefault="00D87276" w:rsidP="00D87276">
      <w:pPr>
        <w:pStyle w:val="Heading30"/>
      </w:pPr>
      <w:r w:rsidRPr="00C15715">
        <w:rPr>
          <w:rStyle w:val="normaltextrun"/>
        </w:rPr>
        <w:t xml:space="preserve">Pašreizējais augstas efektivitātes koģenerācijas izmantošanas un efektīvas CSA un </w:t>
      </w:r>
      <w:proofErr w:type="spellStart"/>
      <w:r w:rsidRPr="00C15715">
        <w:rPr>
          <w:rStyle w:val="normaltextrun"/>
        </w:rPr>
        <w:t>aukstumapgādes</w:t>
      </w:r>
      <w:proofErr w:type="spellEnd"/>
      <w:r w:rsidRPr="00C15715">
        <w:rPr>
          <w:rStyle w:val="normaltextrun"/>
        </w:rPr>
        <w:t xml:space="preserve"> potenciāls</w:t>
      </w:r>
      <w:r w:rsidRPr="00C15715">
        <w:rPr>
          <w:rStyle w:val="eop"/>
        </w:rPr>
        <w:t> </w:t>
      </w:r>
    </w:p>
    <w:p w14:paraId="15A49254" w14:textId="77777777" w:rsidR="00D87276" w:rsidRPr="00C15715" w:rsidRDefault="00D87276" w:rsidP="00D87276">
      <w:pPr>
        <w:pStyle w:val="Default"/>
        <w:spacing w:before="120" w:after="120"/>
        <w:jc w:val="both"/>
        <w:rPr>
          <w:rFonts w:asciiTheme="minorHAnsi" w:hAnsiTheme="minorHAnsi" w:cstheme="minorHAnsi"/>
          <w:bCs/>
          <w:iCs/>
          <w:color w:val="auto"/>
        </w:rPr>
      </w:pPr>
      <w:r w:rsidRPr="00C15715">
        <w:rPr>
          <w:rFonts w:asciiTheme="minorHAnsi" w:hAnsiTheme="minorHAnsi" w:cstheme="minorHAnsi"/>
          <w:color w:val="auto"/>
        </w:rPr>
        <w:t xml:space="preserve">Atbilstoši </w:t>
      </w:r>
      <w:r w:rsidRPr="00C15715">
        <w:rPr>
          <w:rFonts w:asciiTheme="minorHAnsi" w:eastAsia="Calibri" w:hAnsiTheme="minorHAnsi" w:cstheme="minorHAnsi"/>
        </w:rPr>
        <w:t>Direktīvas 2012/27/ES</w:t>
      </w:r>
      <w:r w:rsidRPr="00C15715">
        <w:rPr>
          <w:rFonts w:asciiTheme="minorHAnsi" w:hAnsiTheme="minorHAnsi" w:cstheme="minorHAnsi"/>
          <w:color w:val="auto"/>
        </w:rPr>
        <w:t xml:space="preserve"> 14. panta prasībām, Latvija ir veikusi “</w:t>
      </w:r>
      <w:r w:rsidRPr="00C15715">
        <w:rPr>
          <w:rFonts w:asciiTheme="minorHAnsi" w:hAnsiTheme="minorHAnsi" w:cstheme="minorHAnsi"/>
          <w:bCs/>
          <w:iCs/>
          <w:color w:val="auto"/>
        </w:rPr>
        <w:t xml:space="preserve">Augstas efektivitātes koģenerācijas un efektīvas centralizētās siltumapgādes un dzesēšanas izmantošanas potenciāla visaptverošs </w:t>
      </w:r>
      <w:proofErr w:type="spellStart"/>
      <w:r w:rsidRPr="00C15715">
        <w:rPr>
          <w:rFonts w:asciiTheme="minorHAnsi" w:hAnsiTheme="minorHAnsi" w:cstheme="minorHAnsi"/>
          <w:bCs/>
          <w:iCs/>
          <w:color w:val="auto"/>
        </w:rPr>
        <w:t>izvērtējums</w:t>
      </w:r>
      <w:proofErr w:type="spellEnd"/>
      <w:r w:rsidRPr="00C15715">
        <w:rPr>
          <w:rFonts w:asciiTheme="minorHAnsi" w:hAnsiTheme="minorHAnsi" w:cstheme="minorHAnsi"/>
          <w:bCs/>
          <w:iCs/>
          <w:color w:val="auto"/>
        </w:rPr>
        <w:t xml:space="preserve"> un izmaksu un ieguvumu analīze atbilstoši Direktīvas 2012/27/ES prasībām”</w:t>
      </w:r>
      <w:r w:rsidRPr="00C15715">
        <w:rPr>
          <w:rStyle w:val="FootnoteReference"/>
          <w:rFonts w:asciiTheme="minorHAnsi" w:hAnsiTheme="minorHAnsi" w:cstheme="minorHAnsi"/>
          <w:bCs/>
          <w:iCs/>
          <w:color w:val="auto"/>
        </w:rPr>
        <w:footnoteReference w:id="19"/>
      </w:r>
      <w:r w:rsidRPr="00C15715">
        <w:rPr>
          <w:rFonts w:asciiTheme="minorHAnsi" w:hAnsiTheme="minorHAnsi" w:cstheme="minorHAnsi"/>
          <w:bCs/>
          <w:iCs/>
          <w:color w:val="auto"/>
        </w:rPr>
        <w:t xml:space="preserve">. </w:t>
      </w:r>
      <w:proofErr w:type="spellStart"/>
      <w:r w:rsidRPr="00C15715">
        <w:rPr>
          <w:rFonts w:asciiTheme="minorHAnsi" w:hAnsiTheme="minorHAnsi" w:cstheme="minorHAnsi"/>
          <w:bCs/>
          <w:iCs/>
          <w:color w:val="auto"/>
        </w:rPr>
        <w:t>Izvērtējuma</w:t>
      </w:r>
      <w:proofErr w:type="spellEnd"/>
      <w:r w:rsidRPr="00C15715">
        <w:rPr>
          <w:rFonts w:asciiTheme="minorHAnsi" w:hAnsiTheme="minorHAnsi" w:cstheme="minorHAnsi"/>
          <w:bCs/>
          <w:iCs/>
          <w:color w:val="auto"/>
        </w:rPr>
        <w:t xml:space="preserve"> rezultātā ir iegūti sekojoši rezultāti: </w:t>
      </w:r>
    </w:p>
    <w:p w14:paraId="658E61C7" w14:textId="77777777" w:rsidR="00D87276" w:rsidRPr="00C15715" w:rsidRDefault="00D87276" w:rsidP="00D87276">
      <w:pPr>
        <w:pStyle w:val="Default"/>
        <w:spacing w:before="120" w:after="120"/>
        <w:jc w:val="both"/>
        <w:rPr>
          <w:rFonts w:asciiTheme="minorHAnsi" w:hAnsiTheme="minorHAnsi" w:cstheme="minorHAnsi"/>
          <w:color w:val="auto"/>
        </w:rPr>
      </w:pPr>
      <w:r w:rsidRPr="00C15715">
        <w:rPr>
          <w:rFonts w:asciiTheme="minorHAnsi" w:hAnsiTheme="minorHAnsi" w:cstheme="minorHAnsi"/>
          <w:bCs/>
          <w:iCs/>
          <w:color w:val="auto"/>
        </w:rPr>
        <w:t>1</w:t>
      </w:r>
      <w:r w:rsidRPr="00C15715">
        <w:rPr>
          <w:rFonts w:asciiTheme="minorHAnsi" w:hAnsiTheme="minorHAnsi" w:cstheme="minorHAnsi"/>
          <w:color w:val="auto"/>
        </w:rPr>
        <w:t xml:space="preserve">) Kopumā koģenerācijas īpatsvars Latvijas CSA jau ir augsts – 72,6%, pie tam 2017.gadā dažās no Latvijas reģionālajām CSA sistēmām ir gandrīz maksimālais koģenerācijas īpatsvars siltuma ražošanā un augsta AER izmantošanas daļa to kurināmo struktūrā (piem., Jelgava ar 97% saražotu koģenerācijas režīmā un 85% no izmantotā kurināmā ir AER). Potenciāla analīzes rezultātā konstatēts, ka nav potenciāls AER īpatsvara palielināšanai valsts līmenī, toties tika identificēts un analizēts, ka dažās individuālās pilsētās (Daugavpilī, Liepājā un Jūrmalā) būtu iespējams potenciāls ieviest augstas efektivitātes koģenerāciju centralizētajā siltumapgādē, bet ir nepieciešama padziļinātākā konkrētā gadījumā finanšu analīze. Aprēķini balstīti uz elektroenerģijas un siltumenerģijas tirgus cenām. </w:t>
      </w:r>
    </w:p>
    <w:p w14:paraId="2249F127" w14:textId="77777777" w:rsidR="00D87276" w:rsidRPr="00C15715" w:rsidRDefault="00D87276" w:rsidP="00D87276">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2) Salīdzinājumā ar individuālajiem apkures risinājumiem, CSA ir raksturojama ar augstāko efektivitātes līmeni, jo tajā ir lielāks efektīvās koģenerācijas īpatsvars. Tai pašā laikā, CSA ir nepieciešami nopietni ieguldījumi infrastruktūrā un augstas ekspluatācijas un uzturēšanas izmaksas. CSA efektivitāti samazina arī enerģijas zudumi tīklā. Šie nosacījumi padara CSA par ekonomiski dzīvotspējīgu tikai teritorijās ar salīdzinoši lielu siltumenerģijas pieprasījuma blīvumu. </w:t>
      </w:r>
    </w:p>
    <w:p w14:paraId="09B52130" w14:textId="77777777" w:rsidR="00D87276" w:rsidRPr="00C15715" w:rsidRDefault="00D87276" w:rsidP="00D87276">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Siltuma blīvums analizētajās teritorijās pārsvarā parāda pietiekamu siltumenerģijas pieprasījumu, lai esošās CSA paplašināšanos būtu ekonomiski dzīvotspējīgi ekonomikai kopumā. Vislielākais centralizācijas potenciāls ir mājsaimniecību sektorā. Tomēr CSA siltuma pieprasījums no mājsaimniecībām un industrijām ir ierobežots, jo lielāka daļa dod priekšroku individuālajiem apkures risinājumiem ekonomisko iemeslu dēļ.</w:t>
      </w:r>
    </w:p>
    <w:p w14:paraId="04C6F4E0" w14:textId="77777777" w:rsidR="00D87276" w:rsidRPr="00C15715" w:rsidRDefault="00D87276" w:rsidP="00D87276">
      <w:pPr>
        <w:pStyle w:val="Default"/>
        <w:spacing w:before="120" w:after="120"/>
        <w:jc w:val="both"/>
        <w:rPr>
          <w:rFonts w:asciiTheme="minorHAnsi" w:hAnsiTheme="minorHAnsi" w:cstheme="minorHAnsi"/>
          <w:bCs/>
          <w:color w:val="auto"/>
        </w:rPr>
      </w:pPr>
      <w:r w:rsidRPr="00C15715">
        <w:rPr>
          <w:rFonts w:asciiTheme="minorHAnsi" w:hAnsiTheme="minorHAnsi" w:cstheme="minorHAnsi"/>
          <w:color w:val="auto"/>
        </w:rPr>
        <w:t xml:space="preserve">3) Lai realizētu CSA centralizācijas potenciālu, ir nepieciešams attīstīt ekonomiskus stimulus gala patērētājiem, lai </w:t>
      </w:r>
      <w:r w:rsidRPr="00C15715">
        <w:rPr>
          <w:rFonts w:asciiTheme="minorHAnsi" w:hAnsiTheme="minorHAnsi" w:cstheme="minorHAnsi"/>
          <w:bCs/>
          <w:color w:val="auto"/>
        </w:rPr>
        <w:t>siltuma izmaksas no CSA nepārsniedz alternatīvas individuālās apkures izmaksas</w:t>
      </w:r>
      <w:r w:rsidRPr="00C15715">
        <w:rPr>
          <w:rFonts w:asciiTheme="minorHAnsi" w:hAnsiTheme="minorHAnsi" w:cstheme="minorHAnsi"/>
          <w:color w:val="auto"/>
        </w:rPr>
        <w:t>. Šādi stimuli pārsvarā pārstāv pasākumus lai sasniegtu kopēja siltumapgādes tarifa samazināšanos CSA sistēmā, tostarp, n</w:t>
      </w:r>
      <w:r w:rsidRPr="00C15715">
        <w:rPr>
          <w:rFonts w:asciiTheme="minorHAnsi" w:hAnsiTheme="minorHAnsi" w:cstheme="minorHAnsi"/>
          <w:bCs/>
          <w:color w:val="auto"/>
        </w:rPr>
        <w:t>epieciešams piesaistīt ES finanšu atbalstu investīcijām jaunu reģionālu CSA tīklu izveidē un esošo (veco) tīklu renovācijā pašvaldībās, kur esošā vai plānotā siltumtīkla intensitāte pārsniedz 2MWh/m. Kā arī papildus jāveic CSA operatoru ekspluatācijas un uzturēšanas procesu un saistīto izmaksu pārskatīšana un procesu optimizācija.</w:t>
      </w:r>
    </w:p>
    <w:p w14:paraId="5FACDEF5" w14:textId="77777777" w:rsidR="00D87276" w:rsidRPr="00C15715" w:rsidRDefault="00D87276" w:rsidP="00D87276">
      <w:pPr>
        <w:pStyle w:val="Heading30"/>
        <w:rPr>
          <w:rStyle w:val="normaltextrun"/>
        </w:rPr>
      </w:pPr>
      <w:r w:rsidRPr="00C15715">
        <w:rPr>
          <w:rStyle w:val="normaltextrun"/>
        </w:rPr>
        <w:t xml:space="preserve">Indikatīvās attīstības prognozes </w:t>
      </w:r>
    </w:p>
    <w:p w14:paraId="05F255F1"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i/>
          <w:iCs/>
        </w:rPr>
      </w:pPr>
      <w:r w:rsidRPr="00C15715">
        <w:rPr>
          <w:rFonts w:asciiTheme="minorHAnsi" w:hAnsiTheme="minorHAnsi" w:cstheme="minorHAnsi"/>
          <w:i/>
          <w:iCs/>
        </w:rPr>
        <w:t>Tiks papildināts.</w:t>
      </w:r>
    </w:p>
    <w:p w14:paraId="3CD7B879" w14:textId="77777777" w:rsidR="00D87276" w:rsidRPr="00C15715" w:rsidRDefault="00D87276" w:rsidP="00D87276">
      <w:pPr>
        <w:pStyle w:val="Heading30"/>
      </w:pPr>
      <w:r w:rsidRPr="00C15715">
        <w:rPr>
          <w:rStyle w:val="normaltextrun"/>
        </w:rPr>
        <w:lastRenderedPageBreak/>
        <w:t>Izmaksu efektīvs minimālais prasību līmenis</w:t>
      </w:r>
      <w:r w:rsidRPr="00C15715">
        <w:rPr>
          <w:rStyle w:val="eop"/>
        </w:rPr>
        <w:t> </w:t>
      </w:r>
    </w:p>
    <w:p w14:paraId="3ACCBD18"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i/>
          <w:iCs/>
        </w:rPr>
      </w:pPr>
      <w:bookmarkStart w:id="7" w:name="_Toc17878292"/>
      <w:r w:rsidRPr="00C15715">
        <w:rPr>
          <w:rFonts w:asciiTheme="minorHAnsi" w:hAnsiTheme="minorHAnsi" w:cstheme="minorHAnsi"/>
          <w:i/>
          <w:iCs/>
        </w:rPr>
        <w:t>Tiks papildināts.</w:t>
      </w:r>
    </w:p>
    <w:p w14:paraId="5B7F11F7"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i/>
          <w:iCs/>
        </w:rPr>
      </w:pPr>
    </w:p>
    <w:p w14:paraId="34E11F2D" w14:textId="77777777" w:rsidR="00D87276" w:rsidRPr="00C15715" w:rsidRDefault="00D87276" w:rsidP="00D87276">
      <w:pPr>
        <w:pStyle w:val="Heading20"/>
      </w:pPr>
      <w:r w:rsidRPr="00C15715">
        <w:t>Enerģētiskā drošība</w:t>
      </w:r>
      <w:bookmarkEnd w:id="7"/>
      <w:r w:rsidRPr="00C15715">
        <w:t xml:space="preserve"> </w:t>
      </w:r>
    </w:p>
    <w:p w14:paraId="3B75D126" w14:textId="77777777" w:rsidR="00D87276" w:rsidRPr="00C15715" w:rsidRDefault="00D87276" w:rsidP="00D87276">
      <w:pPr>
        <w:pStyle w:val="Heading30"/>
      </w:pPr>
      <w:r w:rsidRPr="00C15715">
        <w:t xml:space="preserve">Esošā situācija </w:t>
      </w:r>
    </w:p>
    <w:p w14:paraId="31E56371" w14:textId="77777777" w:rsidR="00D87276" w:rsidRPr="00C15715" w:rsidRDefault="00D87276" w:rsidP="00D87276">
      <w:pPr>
        <w:spacing w:before="120" w:after="120" w:line="240" w:lineRule="auto"/>
        <w:jc w:val="both"/>
        <w:rPr>
          <w:rFonts w:cstheme="minorHAnsi"/>
        </w:rPr>
      </w:pPr>
      <w:r w:rsidRPr="00C15715">
        <w:rPr>
          <w:rFonts w:cstheme="minorHAnsi"/>
        </w:rPr>
        <w:t xml:space="preserve">2018.gadā Latvijā energoresursu ražošanā dominēja dažādi biomasas kurināmie / degviela – cietā biomasa, gāzveida biomasas un šķidrā biomasas (biodegviela), kā arī elektroenerģija. Nelielā apjomā Latvijā tika saražots arī cietais kurināmais – kūdra, savukārt no naftas produktiem kā energoresurss tika saražotas smērvielas. Primārās enerģijas patēriņā 2018.gadā gandrīz vienādā apjomā tika patērēti naftas produkti un biomasa (cietā, šķidrā un </w:t>
      </w:r>
      <w:proofErr w:type="spellStart"/>
      <w:r w:rsidRPr="00C15715">
        <w:rPr>
          <w:rFonts w:cstheme="minorHAnsi"/>
        </w:rPr>
        <w:t>gāzeida</w:t>
      </w:r>
      <w:proofErr w:type="spellEnd"/>
      <w:r w:rsidRPr="00C15715">
        <w:rPr>
          <w:rFonts w:cstheme="minorHAnsi"/>
        </w:rPr>
        <w:t xml:space="preserve"> biomasa), savukārt gāzveida fosilais kurināmais / degviela tika patērēts par ceturtdaļu mazāk nekā biomasa. Enerģijas </w:t>
      </w:r>
      <w:proofErr w:type="spellStart"/>
      <w:r w:rsidRPr="00C15715">
        <w:rPr>
          <w:rFonts w:cstheme="minorHAnsi"/>
        </w:rPr>
        <w:t>galapatēriņā</w:t>
      </w:r>
      <w:proofErr w:type="spellEnd"/>
      <w:r w:rsidRPr="00C15715">
        <w:rPr>
          <w:rFonts w:cstheme="minorHAnsi"/>
        </w:rPr>
        <w:t xml:space="preserve"> 2018.gadā dominē naftas produkti (importētie naftas produkti transporta patēriņā), otrais lielākais patērētais kurināmais / degviela 2018.gadā Latvijā bija biomasa (cietā, šķidrā un </w:t>
      </w:r>
      <w:proofErr w:type="spellStart"/>
      <w:r w:rsidRPr="00C15715">
        <w:rPr>
          <w:rFonts w:cstheme="minorHAnsi"/>
        </w:rPr>
        <w:t>gāzeida</w:t>
      </w:r>
      <w:proofErr w:type="spellEnd"/>
      <w:r w:rsidRPr="00C15715">
        <w:rPr>
          <w:rFonts w:cstheme="minorHAnsi"/>
        </w:rPr>
        <w:t xml:space="preserve"> biomasa). Savukārt siltumenerģijas un elektroenerģijas </w:t>
      </w:r>
      <w:proofErr w:type="spellStart"/>
      <w:r w:rsidRPr="00C15715">
        <w:rPr>
          <w:rFonts w:cstheme="minorHAnsi"/>
        </w:rPr>
        <w:t>galapatēriņš</w:t>
      </w:r>
      <w:proofErr w:type="spellEnd"/>
      <w:r w:rsidRPr="00C15715">
        <w:rPr>
          <w:rFonts w:cstheme="minorHAnsi"/>
        </w:rPr>
        <w:t xml:space="preserve"> 2018.gadā Latvijā bija mazāks un gandrīz savstarpēji vienāds.</w:t>
      </w:r>
    </w:p>
    <w:p w14:paraId="4824A836" w14:textId="77777777" w:rsidR="00D87276" w:rsidRPr="00C15715" w:rsidRDefault="00D87276" w:rsidP="00D87276">
      <w:pPr>
        <w:spacing w:before="120" w:after="120" w:line="240" w:lineRule="auto"/>
        <w:jc w:val="both"/>
        <w:rPr>
          <w:rFonts w:cstheme="minorHAnsi"/>
        </w:rPr>
      </w:pPr>
      <w:r w:rsidRPr="00C15715">
        <w:rPr>
          <w:rFonts w:cstheme="minorHAnsi"/>
        </w:rPr>
        <w:t>Enerģētiskās drošības nosacījuma izpildi vislabāk raksturo tas, cik daudz energoresursu Latvija spēj saražot pati (valstī iekšienē) un cik daudz energoresursu ir nepieciešams importēt, kā arī tas, no cik daudz dažādiem avotiem energoresursi tiek importēti.</w:t>
      </w:r>
    </w:p>
    <w:p w14:paraId="4156085E" w14:textId="77777777" w:rsidR="00D87276" w:rsidRPr="00C15715" w:rsidRDefault="00D87276" w:rsidP="00D87276">
      <w:pPr>
        <w:spacing w:before="120" w:after="120" w:line="240" w:lineRule="auto"/>
        <w:jc w:val="center"/>
        <w:rPr>
          <w:rFonts w:cstheme="minorHAnsi"/>
        </w:rPr>
      </w:pPr>
      <w:r w:rsidRPr="00C15715">
        <w:rPr>
          <w:rFonts w:cstheme="minorHAnsi"/>
          <w:noProof/>
        </w:rPr>
        <w:drawing>
          <wp:inline distT="0" distB="0" distL="0" distR="0" wp14:anchorId="5172D46C" wp14:editId="2725B79B">
            <wp:extent cx="4733029" cy="2670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7258" cy="2695576"/>
                    </a:xfrm>
                    <a:prstGeom prst="rect">
                      <a:avLst/>
                    </a:prstGeom>
                    <a:noFill/>
                  </pic:spPr>
                </pic:pic>
              </a:graphicData>
            </a:graphic>
          </wp:inline>
        </w:drawing>
      </w:r>
    </w:p>
    <w:p w14:paraId="1C8BD571" w14:textId="496B4B8E" w:rsidR="00D87276" w:rsidRPr="00C15715" w:rsidRDefault="00D87276" w:rsidP="00D87276">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r w:rsidR="001121B4">
        <w:rPr>
          <w:rFonts w:asciiTheme="minorHAnsi" w:hAnsiTheme="minorHAnsi" w:cstheme="minorHAnsi"/>
          <w:noProof/>
        </w:rPr>
        <w:t>13</w:t>
      </w:r>
      <w:r w:rsidRPr="00C15715">
        <w:rPr>
          <w:rFonts w:asciiTheme="minorHAnsi" w:hAnsiTheme="minorHAnsi" w:cstheme="minorHAnsi"/>
          <w:noProof/>
        </w:rPr>
        <w:fldChar w:fldCharType="end"/>
      </w:r>
      <w:r w:rsidRPr="00C15715">
        <w:rPr>
          <w:rFonts w:asciiTheme="minorHAnsi" w:hAnsiTheme="minorHAnsi" w:cstheme="minorHAnsi"/>
        </w:rPr>
        <w:t>.attēls. Latvijas energoresursu ražošanas un patēriņa struktūra, energoresursu imports un eksports 2017.gadā (TJ)</w:t>
      </w:r>
    </w:p>
    <w:p w14:paraId="3B881AFB" w14:textId="77777777" w:rsidR="00D87276" w:rsidRPr="00C15715" w:rsidRDefault="00D87276" w:rsidP="00D87276">
      <w:pPr>
        <w:spacing w:before="120" w:after="120" w:line="240" w:lineRule="auto"/>
        <w:jc w:val="both"/>
        <w:rPr>
          <w:rFonts w:cstheme="minorHAnsi"/>
        </w:rPr>
      </w:pPr>
      <w:r w:rsidRPr="00C15715">
        <w:rPr>
          <w:rFonts w:cstheme="minorHAnsi"/>
        </w:rPr>
        <w:t>Latvija ir būtiski samazinājusi savu enerģētisko atkarību</w:t>
      </w:r>
      <w:r w:rsidRPr="00C15715">
        <w:rPr>
          <w:rStyle w:val="FootnoteReference"/>
          <w:rFonts w:cstheme="minorHAnsi"/>
        </w:rPr>
        <w:footnoteReference w:id="20"/>
      </w:r>
      <w:r w:rsidRPr="00C15715">
        <w:rPr>
          <w:rFonts w:cstheme="minorHAnsi"/>
        </w:rPr>
        <w:t xml:space="preserve"> periodā no 1990.gada līdz 2017.gadam – 50,4% (31% samazinājums 2005.-2017.g. periodā), kur 2017. gadā 44,1% no Latvijas primārā enerģijas patēriņa ir radīti no importētajiem energoresursiem. Šobrīd enerģētiskā atkarība Latvijā ir zemāka nekā ES kopumā, un enerģētiskā atkarība ir samazinājusies, neskatoties uz kopējo izmantotā primārās enerģijas apjoma palielinājumu pēdējos gados. Enerģētiskās atkarības uzlabošanos sekmēja lielais AER izmantotā apjom </w:t>
      </w:r>
      <w:r w:rsidRPr="00C15715">
        <w:rPr>
          <w:rFonts w:cstheme="minorHAnsi"/>
        </w:rPr>
        <w:lastRenderedPageBreak/>
        <w:t>palielinājums, kā arī elektroenerģijas un gāzes tirgus atvēršana, tādējādi samazinot enerģētisko atkarību no Krievijas.</w:t>
      </w:r>
    </w:p>
    <w:p w14:paraId="6F7FDB3C" w14:textId="77777777" w:rsidR="00D87276" w:rsidRPr="00C15715" w:rsidRDefault="00D87276" w:rsidP="00D87276">
      <w:pPr>
        <w:spacing w:before="120" w:after="120" w:line="240" w:lineRule="auto"/>
        <w:jc w:val="center"/>
        <w:rPr>
          <w:rFonts w:cstheme="minorHAnsi"/>
        </w:rPr>
      </w:pPr>
      <w:r w:rsidRPr="00C15715">
        <w:rPr>
          <w:rFonts w:cstheme="minorHAnsi"/>
          <w:noProof/>
        </w:rPr>
        <w:drawing>
          <wp:inline distT="0" distB="0" distL="0" distR="0" wp14:anchorId="2A509B8F" wp14:editId="07D576C2">
            <wp:extent cx="4672883" cy="2621469"/>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1145" cy="2637324"/>
                    </a:xfrm>
                    <a:prstGeom prst="rect">
                      <a:avLst/>
                    </a:prstGeom>
                    <a:noFill/>
                  </pic:spPr>
                </pic:pic>
              </a:graphicData>
            </a:graphic>
          </wp:inline>
        </w:drawing>
      </w:r>
    </w:p>
    <w:p w14:paraId="170A74A6" w14:textId="248CFCD9"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14</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un ES </w:t>
      </w:r>
      <w:proofErr w:type="spellStart"/>
      <w:r w:rsidRPr="00C15715">
        <w:rPr>
          <w:rFonts w:asciiTheme="minorHAnsi" w:hAnsiTheme="minorHAnsi" w:cstheme="minorHAnsi"/>
        </w:rPr>
        <w:t>energoimporta</w:t>
      </w:r>
      <w:proofErr w:type="spellEnd"/>
      <w:r w:rsidRPr="00C15715">
        <w:rPr>
          <w:rFonts w:asciiTheme="minorHAnsi" w:hAnsiTheme="minorHAnsi" w:cstheme="minorHAnsi"/>
        </w:rPr>
        <w:t xml:space="preserve"> tendences 1990.-2017.gadā (%)</w:t>
      </w:r>
      <w:r w:rsidRPr="00C15715">
        <w:rPr>
          <w:rStyle w:val="FootnoteReference"/>
          <w:rFonts w:asciiTheme="minorHAnsi" w:hAnsiTheme="minorHAnsi" w:cstheme="minorHAnsi"/>
        </w:rPr>
        <w:footnoteReference w:id="21"/>
      </w:r>
    </w:p>
    <w:p w14:paraId="0729D4DB" w14:textId="6A3EE68E" w:rsidR="00D87276" w:rsidRPr="00C15715" w:rsidRDefault="00D87276" w:rsidP="00D87276">
      <w:pPr>
        <w:spacing w:before="120" w:after="120" w:line="240" w:lineRule="auto"/>
        <w:jc w:val="both"/>
        <w:rPr>
          <w:rFonts w:cstheme="minorHAnsi"/>
        </w:rPr>
      </w:pPr>
      <w:r w:rsidRPr="00C15715">
        <w:rPr>
          <w:rFonts w:cstheme="minorHAnsi"/>
        </w:rPr>
        <w:t>2017.gadā Latvijas enerģētiskā atkarība cieto fosilo kurināmo apjomā bija 88,5%, naftas produktiem – 100,12%, un dabasgāzei – 101,9%, kas ir izskaidrojams ar to, ka Latvijā neiegūst gandrīz nevienu no šiem kurināmā veidiem</w:t>
      </w:r>
      <w:r w:rsidR="00E47B85">
        <w:rPr>
          <w:rFonts w:cstheme="minorHAnsi"/>
        </w:rPr>
        <w:t xml:space="preserve"> (izņemot smērvielas, kūdru un kūdras briketes)</w:t>
      </w:r>
      <w:r w:rsidRPr="00C15715">
        <w:rPr>
          <w:rFonts w:cstheme="minorHAnsi"/>
        </w:rPr>
        <w:t>, savukārt Latvija neizmanto visu importēto gāzi un daļa gāzes tiek uzglabāta Inčukalna pazemes gāzes krātuvē, kā arī Latvija neizmanto visu importēto šķidro naftas produktu apjomu, bet daļu eksportē.</w:t>
      </w:r>
    </w:p>
    <w:p w14:paraId="6AD79326" w14:textId="77777777" w:rsidR="00D87276" w:rsidRPr="00C15715" w:rsidRDefault="00D87276" w:rsidP="00D87276">
      <w:pPr>
        <w:spacing w:before="120" w:after="120" w:line="240" w:lineRule="auto"/>
        <w:jc w:val="both"/>
        <w:rPr>
          <w:rFonts w:cstheme="minorHAnsi"/>
        </w:rPr>
      </w:pPr>
      <w:r w:rsidRPr="00C15715">
        <w:rPr>
          <w:rFonts w:cstheme="minorHAnsi"/>
        </w:rPr>
        <w:t xml:space="preserve">2017.gadā Latvija saražoja 101% no Latvijā nepieciešamās elektroenerģijas. Latvijas pārvades tīklā 2017.g. importēts par 16% mazāk elektroenerģijas, turpretī eksportēts par 9% vairāk nekā 2016.g. </w:t>
      </w:r>
      <w:r w:rsidR="008E30F7" w:rsidRPr="00C15715">
        <w:rPr>
          <w:rFonts w:cstheme="minorHAnsi"/>
        </w:rPr>
        <w:t>Tomēr, līdzīgi kā 2016.gadā Latvijas saražotās un patērētās elektroenerģijas saldo bija negatīvs ar būtisku Latvijas pārvades tīklā importētās elektroenerģijas pārsvaru pār no Latvijas pārvades tīkla eksportēto elektroenerģiju. Tāpat arī Latvijas elektroenerģijas patēriņa apjoms pārsniedz kopējo Latvijā saražotās elektroenerģijas apjomu, tāpēc 2018.gadā vietējie elektroenerģijas ražotāji Latvijas elektroenerģijas patēriņu nosedza nepilnu 88% apmērā.</w:t>
      </w:r>
    </w:p>
    <w:p w14:paraId="6B34FE7B" w14:textId="7B4ABAA7" w:rsidR="00D87276" w:rsidRPr="00C15715" w:rsidRDefault="00D87276" w:rsidP="00D87276">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1121B4">
        <w:rPr>
          <w:rFonts w:asciiTheme="minorHAnsi" w:hAnsiTheme="minorHAnsi" w:cstheme="minorHAnsi"/>
          <w:noProof/>
          <w:szCs w:val="24"/>
        </w:rPr>
        <w:t>4</w:t>
      </w:r>
      <w:r w:rsidRPr="00C15715">
        <w:rPr>
          <w:rFonts w:asciiTheme="minorHAnsi" w:hAnsiTheme="minorHAnsi" w:cstheme="minorHAnsi"/>
          <w:szCs w:val="24"/>
        </w:rPr>
        <w:fldChar w:fldCharType="end"/>
      </w:r>
      <w:r w:rsidRPr="00C15715">
        <w:rPr>
          <w:rFonts w:asciiTheme="minorHAnsi" w:hAnsiTheme="minorHAnsi" w:cstheme="minorHAnsi"/>
        </w:rPr>
        <w:t>.tabula. Latvijas elektroenerģijas imports un eksports 2016.-2017.g. (</w:t>
      </w:r>
      <w:proofErr w:type="spellStart"/>
      <w:r w:rsidRPr="00C15715">
        <w:rPr>
          <w:rFonts w:asciiTheme="minorHAnsi" w:hAnsiTheme="minorHAnsi" w:cstheme="minorHAnsi"/>
        </w:rPr>
        <w:t>MWh</w:t>
      </w:r>
      <w:proofErr w:type="spellEnd"/>
      <w:r w:rsidRPr="00C15715">
        <w:rPr>
          <w:rFonts w:asciiTheme="minorHAnsi" w:hAnsiTheme="minorHAnsi" w:cstheme="minorHAnsi"/>
        </w:rPr>
        <w:t>)</w:t>
      </w:r>
      <w:r w:rsidRPr="00C15715">
        <w:rPr>
          <w:rStyle w:val="FootnoteReference"/>
          <w:rFonts w:asciiTheme="minorHAnsi" w:hAnsiTheme="minorHAnsi" w:cstheme="minorHAnsi"/>
        </w:rPr>
        <w:footnoteReference w:id="22"/>
      </w:r>
    </w:p>
    <w:tbl>
      <w:tblPr>
        <w:tblW w:w="9956" w:type="dxa"/>
        <w:jc w:val="center"/>
        <w:tblLook w:val="04A0" w:firstRow="1" w:lastRow="0" w:firstColumn="1" w:lastColumn="0" w:noHBand="0" w:noVBand="1"/>
      </w:tblPr>
      <w:tblGrid>
        <w:gridCol w:w="4002"/>
        <w:gridCol w:w="1323"/>
        <w:gridCol w:w="1559"/>
        <w:gridCol w:w="1323"/>
        <w:gridCol w:w="1749"/>
      </w:tblGrid>
      <w:tr w:rsidR="008E30F7" w:rsidRPr="00C15715" w14:paraId="4B044E50" w14:textId="77777777" w:rsidTr="008E30F7">
        <w:trPr>
          <w:trHeight w:val="56"/>
          <w:jc w:val="center"/>
        </w:trPr>
        <w:tc>
          <w:tcPr>
            <w:tcW w:w="42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3A141" w14:textId="77777777" w:rsidR="008E30F7" w:rsidRPr="00C15715" w:rsidRDefault="008E30F7" w:rsidP="008E30F7">
            <w:pPr>
              <w:spacing w:after="0" w:line="240" w:lineRule="auto"/>
              <w:rPr>
                <w:rFonts w:eastAsia="Times New Roman" w:cstheme="minorHAnsi"/>
                <w:sz w:val="22"/>
                <w:lang w:eastAsia="lv-LV"/>
              </w:rPr>
            </w:pPr>
            <w:r w:rsidRPr="00C15715">
              <w:rPr>
                <w:rFonts w:eastAsia="Times New Roman" w:cstheme="minorHAnsi"/>
                <w:sz w:val="22"/>
                <w:lang w:eastAsia="lv-LV"/>
              </w:rPr>
              <w:t> </w:t>
            </w:r>
          </w:p>
        </w:tc>
        <w:tc>
          <w:tcPr>
            <w:tcW w:w="13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6B1E1C18" w14:textId="77777777" w:rsidR="008E30F7" w:rsidRPr="00C15715" w:rsidRDefault="008E30F7" w:rsidP="008E30F7">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2016</w:t>
            </w:r>
          </w:p>
          <w:p w14:paraId="7D28AAB1" w14:textId="77777777" w:rsidR="008E30F7" w:rsidRPr="00C15715" w:rsidRDefault="008E30F7" w:rsidP="008E30F7">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w:t>
            </w:r>
            <w:proofErr w:type="spellStart"/>
            <w:r w:rsidRPr="00C15715">
              <w:rPr>
                <w:rFonts w:eastAsia="Times New Roman" w:cstheme="minorHAnsi"/>
                <w:b/>
                <w:bCs/>
                <w:color w:val="000000"/>
                <w:sz w:val="22"/>
                <w:lang w:eastAsia="lv-LV"/>
              </w:rPr>
              <w:t>GWh</w:t>
            </w:r>
            <w:proofErr w:type="spellEnd"/>
            <w:r w:rsidRPr="00C15715">
              <w:rPr>
                <w:rFonts w:eastAsia="Times New Roman" w:cstheme="minorHAnsi"/>
                <w:b/>
                <w:bCs/>
                <w:color w:val="000000"/>
                <w:sz w:val="22"/>
                <w:lang w:eastAsia="lv-LV"/>
              </w:rPr>
              <w:t>)</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hideMark/>
          </w:tcPr>
          <w:p w14:paraId="1C2950BF" w14:textId="77777777" w:rsidR="008E30F7" w:rsidRPr="00C15715" w:rsidRDefault="008E30F7" w:rsidP="008E30F7">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2017</w:t>
            </w:r>
            <w:r w:rsidRPr="00C15715">
              <w:rPr>
                <w:rFonts w:eastAsia="Times New Roman" w:cstheme="minorHAnsi"/>
                <w:b/>
                <w:bCs/>
                <w:color w:val="000000"/>
                <w:sz w:val="22"/>
                <w:lang w:eastAsia="lv-LV"/>
              </w:rPr>
              <w:br/>
              <w:t>(</w:t>
            </w:r>
            <w:proofErr w:type="spellStart"/>
            <w:r w:rsidRPr="00C15715">
              <w:rPr>
                <w:rFonts w:eastAsia="Times New Roman" w:cstheme="minorHAnsi"/>
                <w:b/>
                <w:bCs/>
                <w:color w:val="000000"/>
                <w:sz w:val="22"/>
                <w:lang w:eastAsia="lv-LV"/>
              </w:rPr>
              <w:t>GWh</w:t>
            </w:r>
            <w:proofErr w:type="spellEnd"/>
            <w:r w:rsidRPr="00C15715">
              <w:rPr>
                <w:rFonts w:eastAsia="Times New Roman" w:cstheme="minorHAnsi"/>
                <w:b/>
                <w:bCs/>
                <w:color w:val="000000"/>
                <w:sz w:val="22"/>
                <w:lang w:eastAsia="lv-LV"/>
              </w:rPr>
              <w:t>)</w:t>
            </w:r>
          </w:p>
        </w:tc>
        <w:tc>
          <w:tcPr>
            <w:tcW w:w="1231" w:type="dxa"/>
            <w:tcBorders>
              <w:top w:val="single" w:sz="4" w:space="0" w:color="auto"/>
              <w:left w:val="nil"/>
              <w:bottom w:val="single" w:sz="4" w:space="0" w:color="auto"/>
              <w:right w:val="single" w:sz="4" w:space="0" w:color="auto"/>
            </w:tcBorders>
            <w:shd w:val="clear" w:color="auto" w:fill="E7E6E6" w:themeFill="background2"/>
            <w:vAlign w:val="center"/>
            <w:hideMark/>
          </w:tcPr>
          <w:p w14:paraId="780B8062" w14:textId="77777777" w:rsidR="008E30F7" w:rsidRPr="00C15715" w:rsidRDefault="008E30F7" w:rsidP="008E30F7">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2018</w:t>
            </w:r>
            <w:r w:rsidRPr="00C15715">
              <w:rPr>
                <w:rFonts w:eastAsia="Times New Roman" w:cstheme="minorHAnsi"/>
                <w:b/>
                <w:bCs/>
                <w:color w:val="000000"/>
                <w:sz w:val="22"/>
                <w:lang w:eastAsia="lv-LV"/>
              </w:rPr>
              <w:br/>
              <w:t>(</w:t>
            </w:r>
            <w:proofErr w:type="spellStart"/>
            <w:r w:rsidRPr="00C15715">
              <w:rPr>
                <w:rFonts w:eastAsia="Times New Roman" w:cstheme="minorHAnsi"/>
                <w:b/>
                <w:bCs/>
                <w:color w:val="000000"/>
                <w:sz w:val="22"/>
                <w:lang w:eastAsia="lv-LV"/>
              </w:rPr>
              <w:t>GWh</w:t>
            </w:r>
            <w:proofErr w:type="spellEnd"/>
            <w:r w:rsidRPr="00C15715">
              <w:rPr>
                <w:rFonts w:eastAsia="Times New Roman" w:cstheme="minorHAnsi"/>
                <w:b/>
                <w:bCs/>
                <w:color w:val="000000"/>
                <w:sz w:val="22"/>
                <w:lang w:eastAsia="lv-LV"/>
              </w:rPr>
              <w:t>)</w:t>
            </w:r>
          </w:p>
        </w:tc>
        <w:tc>
          <w:tcPr>
            <w:tcW w:w="16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6C491700" w14:textId="77777777" w:rsidR="008E30F7" w:rsidRPr="00C15715" w:rsidRDefault="008E30F7" w:rsidP="008E30F7">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Izmaiņas</w:t>
            </w:r>
            <w:r w:rsidRPr="00C15715">
              <w:rPr>
                <w:rFonts w:eastAsia="Times New Roman" w:cstheme="minorHAnsi"/>
                <w:b/>
                <w:bCs/>
                <w:color w:val="000000"/>
                <w:sz w:val="22"/>
                <w:lang w:eastAsia="lv-LV"/>
              </w:rPr>
              <w:br/>
              <w:t>(2017.-2018.)</w:t>
            </w:r>
          </w:p>
        </w:tc>
      </w:tr>
      <w:tr w:rsidR="008E30F7" w:rsidRPr="00C15715" w14:paraId="66B262F5" w14:textId="77777777" w:rsidTr="008E30F7">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7F3D41E1" w14:textId="77777777" w:rsidR="008E30F7" w:rsidRPr="00C15715" w:rsidRDefault="008E30F7" w:rsidP="008E30F7">
            <w:pPr>
              <w:spacing w:after="0" w:line="240" w:lineRule="auto"/>
              <w:rPr>
                <w:rFonts w:eastAsia="Times New Roman" w:cstheme="minorHAnsi"/>
                <w:szCs w:val="24"/>
                <w:lang w:eastAsia="lv-LV"/>
              </w:rPr>
            </w:pPr>
            <w:r w:rsidRPr="00C15715">
              <w:rPr>
                <w:rFonts w:eastAsia="Times New Roman" w:cstheme="minorHAnsi"/>
                <w:szCs w:val="24"/>
                <w:lang w:eastAsia="lv-LV"/>
              </w:rPr>
              <w:t>Latvijas pārvades tīklā importētā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6C154760" w14:textId="77777777" w:rsidR="008E30F7" w:rsidRPr="00C15715" w:rsidRDefault="008E30F7" w:rsidP="008E30F7">
            <w:pPr>
              <w:spacing w:after="0" w:line="240" w:lineRule="auto"/>
              <w:jc w:val="center"/>
              <w:rPr>
                <w:rFonts w:eastAsia="Times New Roman" w:cstheme="minorHAnsi"/>
                <w:szCs w:val="24"/>
                <w:lang w:eastAsia="lv-LV"/>
              </w:rPr>
            </w:pPr>
            <w:r w:rsidRPr="00C15715">
              <w:rPr>
                <w:rFonts w:eastAsia="Times New Roman" w:cstheme="minorHAnsi"/>
                <w:szCs w:val="24"/>
                <w:lang w:eastAsia="lv-LV"/>
              </w:rPr>
              <w:t>4828,354</w:t>
            </w:r>
          </w:p>
        </w:tc>
        <w:tc>
          <w:tcPr>
            <w:tcW w:w="1559" w:type="dxa"/>
            <w:tcBorders>
              <w:top w:val="nil"/>
              <w:left w:val="nil"/>
              <w:bottom w:val="single" w:sz="4" w:space="0" w:color="auto"/>
              <w:right w:val="single" w:sz="4" w:space="0" w:color="auto"/>
            </w:tcBorders>
            <w:shd w:val="clear" w:color="auto" w:fill="auto"/>
            <w:vAlign w:val="center"/>
            <w:hideMark/>
          </w:tcPr>
          <w:p w14:paraId="07602AC9" w14:textId="77777777" w:rsidR="008E30F7" w:rsidRPr="00C15715" w:rsidRDefault="008E30F7" w:rsidP="008E30F7">
            <w:pPr>
              <w:spacing w:after="0" w:line="240" w:lineRule="auto"/>
              <w:jc w:val="center"/>
              <w:rPr>
                <w:rFonts w:eastAsia="Times New Roman" w:cstheme="minorHAnsi"/>
                <w:szCs w:val="24"/>
                <w:lang w:eastAsia="lv-LV"/>
              </w:rPr>
            </w:pPr>
            <w:r w:rsidRPr="00C15715">
              <w:rPr>
                <w:rFonts w:eastAsia="Times New Roman" w:cstheme="minorHAnsi"/>
                <w:szCs w:val="24"/>
                <w:lang w:eastAsia="lv-LV"/>
              </w:rPr>
              <w:t>4072,912</w:t>
            </w:r>
          </w:p>
        </w:tc>
        <w:tc>
          <w:tcPr>
            <w:tcW w:w="1231" w:type="dxa"/>
            <w:tcBorders>
              <w:top w:val="nil"/>
              <w:left w:val="nil"/>
              <w:bottom w:val="single" w:sz="4" w:space="0" w:color="auto"/>
              <w:right w:val="single" w:sz="4" w:space="0" w:color="auto"/>
            </w:tcBorders>
            <w:shd w:val="clear" w:color="auto" w:fill="auto"/>
            <w:vAlign w:val="center"/>
            <w:hideMark/>
          </w:tcPr>
          <w:p w14:paraId="0F560CB5"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5173,682</w:t>
            </w:r>
          </w:p>
        </w:tc>
        <w:tc>
          <w:tcPr>
            <w:tcW w:w="1623" w:type="dxa"/>
            <w:tcBorders>
              <w:top w:val="nil"/>
              <w:left w:val="nil"/>
              <w:bottom w:val="single" w:sz="4" w:space="0" w:color="auto"/>
              <w:right w:val="single" w:sz="4" w:space="0" w:color="auto"/>
            </w:tcBorders>
            <w:shd w:val="clear" w:color="auto" w:fill="auto"/>
            <w:vAlign w:val="center"/>
            <w:hideMark/>
          </w:tcPr>
          <w:p w14:paraId="73322B41"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27%</w:t>
            </w:r>
          </w:p>
        </w:tc>
      </w:tr>
      <w:tr w:rsidR="008E30F7" w:rsidRPr="00C15715" w14:paraId="184E780C" w14:textId="77777777" w:rsidTr="008E30F7">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48B4511" w14:textId="77777777" w:rsidR="008E30F7" w:rsidRPr="00C15715" w:rsidRDefault="008E30F7" w:rsidP="008E30F7">
            <w:pPr>
              <w:spacing w:after="0" w:line="240" w:lineRule="auto"/>
              <w:rPr>
                <w:rFonts w:eastAsia="Times New Roman" w:cstheme="minorHAnsi"/>
                <w:szCs w:val="24"/>
                <w:lang w:eastAsia="lv-LV"/>
              </w:rPr>
            </w:pPr>
            <w:r w:rsidRPr="00C15715">
              <w:rPr>
                <w:rFonts w:eastAsia="Times New Roman" w:cstheme="minorHAnsi"/>
                <w:szCs w:val="24"/>
                <w:lang w:eastAsia="lv-LV"/>
              </w:rPr>
              <w:t>No Latvijas pārvades tīkla eksportētā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4DE584E0" w14:textId="77777777" w:rsidR="008E30F7" w:rsidRPr="00C15715" w:rsidRDefault="008E30F7" w:rsidP="008E30F7">
            <w:pPr>
              <w:spacing w:after="0" w:line="240" w:lineRule="auto"/>
              <w:jc w:val="center"/>
              <w:rPr>
                <w:rFonts w:eastAsia="Times New Roman" w:cstheme="minorHAnsi"/>
                <w:szCs w:val="24"/>
                <w:lang w:eastAsia="lv-LV"/>
              </w:rPr>
            </w:pPr>
            <w:r w:rsidRPr="00C15715">
              <w:rPr>
                <w:rFonts w:eastAsia="Times New Roman" w:cstheme="minorHAnsi"/>
                <w:szCs w:val="24"/>
                <w:lang w:eastAsia="lv-LV"/>
              </w:rPr>
              <w:t>3794,883</w:t>
            </w:r>
          </w:p>
        </w:tc>
        <w:tc>
          <w:tcPr>
            <w:tcW w:w="1559" w:type="dxa"/>
            <w:tcBorders>
              <w:top w:val="nil"/>
              <w:left w:val="nil"/>
              <w:bottom w:val="single" w:sz="4" w:space="0" w:color="auto"/>
              <w:right w:val="single" w:sz="4" w:space="0" w:color="auto"/>
            </w:tcBorders>
            <w:shd w:val="clear" w:color="auto" w:fill="auto"/>
            <w:vAlign w:val="center"/>
            <w:hideMark/>
          </w:tcPr>
          <w:p w14:paraId="79276E32" w14:textId="77777777" w:rsidR="008E30F7" w:rsidRPr="00C15715" w:rsidRDefault="008E30F7" w:rsidP="008E30F7">
            <w:pPr>
              <w:spacing w:after="0" w:line="240" w:lineRule="auto"/>
              <w:jc w:val="center"/>
              <w:rPr>
                <w:rFonts w:eastAsia="Times New Roman" w:cstheme="minorHAnsi"/>
                <w:szCs w:val="24"/>
                <w:lang w:eastAsia="lv-LV"/>
              </w:rPr>
            </w:pPr>
            <w:r w:rsidRPr="00C15715">
              <w:rPr>
                <w:rFonts w:eastAsia="Times New Roman" w:cstheme="minorHAnsi"/>
                <w:szCs w:val="24"/>
                <w:lang w:eastAsia="lv-LV"/>
              </w:rPr>
              <w:t>4137,077</w:t>
            </w:r>
          </w:p>
        </w:tc>
        <w:tc>
          <w:tcPr>
            <w:tcW w:w="1231" w:type="dxa"/>
            <w:tcBorders>
              <w:top w:val="nil"/>
              <w:left w:val="nil"/>
              <w:bottom w:val="single" w:sz="4" w:space="0" w:color="auto"/>
              <w:right w:val="single" w:sz="4" w:space="0" w:color="auto"/>
            </w:tcBorders>
            <w:shd w:val="clear" w:color="auto" w:fill="auto"/>
            <w:vAlign w:val="center"/>
            <w:hideMark/>
          </w:tcPr>
          <w:p w14:paraId="78BB78C9"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4264,801</w:t>
            </w:r>
          </w:p>
        </w:tc>
        <w:tc>
          <w:tcPr>
            <w:tcW w:w="1623" w:type="dxa"/>
            <w:tcBorders>
              <w:top w:val="nil"/>
              <w:left w:val="nil"/>
              <w:bottom w:val="single" w:sz="4" w:space="0" w:color="auto"/>
              <w:right w:val="single" w:sz="4" w:space="0" w:color="auto"/>
            </w:tcBorders>
            <w:shd w:val="clear" w:color="auto" w:fill="auto"/>
            <w:vAlign w:val="center"/>
            <w:hideMark/>
          </w:tcPr>
          <w:p w14:paraId="4B15A457"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3,1%</w:t>
            </w:r>
          </w:p>
        </w:tc>
      </w:tr>
      <w:tr w:rsidR="008E30F7" w:rsidRPr="00C15715" w14:paraId="662C0770" w14:textId="77777777" w:rsidTr="008E30F7">
        <w:trPr>
          <w:trHeight w:val="112"/>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1560210E" w14:textId="77777777" w:rsidR="008E30F7" w:rsidRPr="00C15715" w:rsidRDefault="008E30F7" w:rsidP="008E30F7">
            <w:pPr>
              <w:spacing w:after="0" w:line="240" w:lineRule="auto"/>
              <w:rPr>
                <w:rFonts w:eastAsia="Times New Roman" w:cstheme="minorHAnsi"/>
                <w:szCs w:val="24"/>
                <w:lang w:eastAsia="lv-LV"/>
              </w:rPr>
            </w:pPr>
            <w:r w:rsidRPr="00C15715">
              <w:rPr>
                <w:rFonts w:eastAsia="Times New Roman" w:cstheme="minorHAnsi"/>
                <w:szCs w:val="24"/>
                <w:lang w:eastAsia="lv-LV"/>
              </w:rPr>
              <w:t>Latvijas elektroenerģijas saldo</w:t>
            </w:r>
          </w:p>
        </w:tc>
        <w:tc>
          <w:tcPr>
            <w:tcW w:w="1323" w:type="dxa"/>
            <w:tcBorders>
              <w:top w:val="nil"/>
              <w:left w:val="nil"/>
              <w:bottom w:val="single" w:sz="4" w:space="0" w:color="auto"/>
              <w:right w:val="single" w:sz="4" w:space="0" w:color="auto"/>
            </w:tcBorders>
            <w:shd w:val="clear" w:color="auto" w:fill="auto"/>
            <w:vAlign w:val="center"/>
            <w:hideMark/>
          </w:tcPr>
          <w:p w14:paraId="23E0CE82" w14:textId="622D93B9" w:rsidR="008E30F7" w:rsidRPr="00C15715" w:rsidRDefault="00F97BC0" w:rsidP="008E30F7">
            <w:pPr>
              <w:spacing w:after="0" w:line="240" w:lineRule="auto"/>
              <w:jc w:val="center"/>
              <w:rPr>
                <w:rFonts w:eastAsia="Times New Roman" w:cstheme="minorHAnsi"/>
                <w:szCs w:val="24"/>
                <w:lang w:eastAsia="lv-LV"/>
              </w:rPr>
            </w:pPr>
            <w:r>
              <w:rPr>
                <w:rFonts w:eastAsia="Times New Roman" w:cstheme="minorHAnsi"/>
                <w:szCs w:val="24"/>
                <w:lang w:eastAsia="lv-LV"/>
              </w:rPr>
              <w:t>-</w:t>
            </w:r>
            <w:r w:rsidR="008E30F7" w:rsidRPr="00C15715">
              <w:rPr>
                <w:rFonts w:eastAsia="Times New Roman" w:cstheme="minorHAnsi"/>
                <w:szCs w:val="24"/>
                <w:lang w:eastAsia="lv-LV"/>
              </w:rPr>
              <w:t>1033,47 (iztrūkums)</w:t>
            </w:r>
          </w:p>
        </w:tc>
        <w:tc>
          <w:tcPr>
            <w:tcW w:w="1559" w:type="dxa"/>
            <w:tcBorders>
              <w:top w:val="nil"/>
              <w:left w:val="nil"/>
              <w:bottom w:val="single" w:sz="4" w:space="0" w:color="auto"/>
              <w:right w:val="single" w:sz="4" w:space="0" w:color="auto"/>
            </w:tcBorders>
            <w:shd w:val="clear" w:color="auto" w:fill="auto"/>
            <w:vAlign w:val="center"/>
            <w:hideMark/>
          </w:tcPr>
          <w:p w14:paraId="025F2274" w14:textId="0988F8A0" w:rsidR="008E30F7" w:rsidRPr="00C15715" w:rsidRDefault="00F97BC0" w:rsidP="008E30F7">
            <w:pPr>
              <w:spacing w:after="0" w:line="240" w:lineRule="auto"/>
              <w:jc w:val="center"/>
              <w:rPr>
                <w:rFonts w:eastAsia="Times New Roman" w:cstheme="minorHAnsi"/>
                <w:szCs w:val="24"/>
                <w:lang w:eastAsia="lv-LV"/>
              </w:rPr>
            </w:pPr>
            <w:r>
              <w:rPr>
                <w:rFonts w:eastAsia="Times New Roman" w:cstheme="minorHAnsi"/>
                <w:szCs w:val="24"/>
                <w:lang w:eastAsia="lv-LV"/>
              </w:rPr>
              <w:t>+</w:t>
            </w:r>
            <w:r w:rsidR="008E30F7" w:rsidRPr="00C15715">
              <w:rPr>
                <w:rFonts w:eastAsia="Times New Roman" w:cstheme="minorHAnsi"/>
                <w:szCs w:val="24"/>
                <w:lang w:eastAsia="lv-LV"/>
              </w:rPr>
              <w:t>641,66 (pārpalikums)</w:t>
            </w:r>
          </w:p>
        </w:tc>
        <w:tc>
          <w:tcPr>
            <w:tcW w:w="1231" w:type="dxa"/>
            <w:tcBorders>
              <w:top w:val="nil"/>
              <w:left w:val="nil"/>
              <w:bottom w:val="single" w:sz="4" w:space="0" w:color="auto"/>
              <w:right w:val="single" w:sz="4" w:space="0" w:color="auto"/>
            </w:tcBorders>
            <w:shd w:val="clear" w:color="auto" w:fill="auto"/>
            <w:vAlign w:val="center"/>
            <w:hideMark/>
          </w:tcPr>
          <w:p w14:paraId="16B96BB9" w14:textId="66B6D27D" w:rsidR="008E30F7" w:rsidRPr="00C15715" w:rsidRDefault="00F97BC0" w:rsidP="008E30F7">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w:t>
            </w:r>
            <w:r w:rsidR="008E30F7" w:rsidRPr="00C15715">
              <w:rPr>
                <w:rFonts w:eastAsia="Times New Roman" w:cstheme="minorHAnsi"/>
                <w:color w:val="000000"/>
                <w:szCs w:val="24"/>
                <w:lang w:eastAsia="lv-LV"/>
              </w:rPr>
              <w:t>908,88</w:t>
            </w:r>
          </w:p>
          <w:p w14:paraId="626658CC"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(iztrūkums)</w:t>
            </w:r>
          </w:p>
        </w:tc>
        <w:tc>
          <w:tcPr>
            <w:tcW w:w="1623" w:type="dxa"/>
            <w:tcBorders>
              <w:top w:val="nil"/>
              <w:left w:val="nil"/>
              <w:bottom w:val="single" w:sz="4" w:space="0" w:color="auto"/>
              <w:right w:val="single" w:sz="4" w:space="0" w:color="auto"/>
            </w:tcBorders>
            <w:shd w:val="clear" w:color="auto" w:fill="auto"/>
            <w:vAlign w:val="center"/>
            <w:hideMark/>
          </w:tcPr>
          <w:p w14:paraId="0B696A9F" w14:textId="77777777" w:rsidR="008E30F7" w:rsidRPr="00C15715" w:rsidRDefault="008E30F7" w:rsidP="008E30F7">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1516,5 % (iztrūkums)</w:t>
            </w:r>
          </w:p>
        </w:tc>
      </w:tr>
      <w:tr w:rsidR="008E30F7" w:rsidRPr="00C15715" w14:paraId="4C607B7F" w14:textId="77777777" w:rsidTr="008E30F7">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2263DF0" w14:textId="77777777" w:rsidR="008E30F7" w:rsidRPr="00C15715" w:rsidRDefault="008E30F7" w:rsidP="008E30F7">
            <w:pPr>
              <w:spacing w:after="0" w:line="240" w:lineRule="auto"/>
              <w:rPr>
                <w:rFonts w:eastAsia="Times New Roman" w:cstheme="minorHAnsi"/>
                <w:szCs w:val="24"/>
                <w:lang w:eastAsia="lv-LV"/>
              </w:rPr>
            </w:pPr>
            <w:bookmarkStart w:id="8" w:name="RANGE!A23"/>
            <w:r w:rsidRPr="00C15715">
              <w:rPr>
                <w:rFonts w:eastAsia="Times New Roman" w:cstheme="minorHAnsi"/>
                <w:szCs w:val="24"/>
                <w:lang w:eastAsia="lv-LV"/>
              </w:rPr>
              <w:t>Latvijas elektroenerģijas patēriņš</w:t>
            </w:r>
            <w:bookmarkEnd w:id="8"/>
          </w:p>
        </w:tc>
        <w:tc>
          <w:tcPr>
            <w:tcW w:w="1323" w:type="dxa"/>
            <w:tcBorders>
              <w:top w:val="nil"/>
              <w:left w:val="nil"/>
              <w:bottom w:val="single" w:sz="4" w:space="0" w:color="auto"/>
              <w:right w:val="single" w:sz="4" w:space="0" w:color="auto"/>
            </w:tcBorders>
            <w:shd w:val="clear" w:color="auto" w:fill="auto"/>
            <w:vAlign w:val="center"/>
            <w:hideMark/>
          </w:tcPr>
          <w:p w14:paraId="5022E964"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7264,728</w:t>
            </w:r>
          </w:p>
        </w:tc>
        <w:tc>
          <w:tcPr>
            <w:tcW w:w="1559" w:type="dxa"/>
            <w:tcBorders>
              <w:top w:val="nil"/>
              <w:left w:val="nil"/>
              <w:bottom w:val="single" w:sz="4" w:space="0" w:color="auto"/>
              <w:right w:val="single" w:sz="4" w:space="0" w:color="auto"/>
            </w:tcBorders>
            <w:shd w:val="clear" w:color="auto" w:fill="auto"/>
            <w:vAlign w:val="center"/>
            <w:hideMark/>
          </w:tcPr>
          <w:p w14:paraId="66608CEC"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7282,17</w:t>
            </w:r>
          </w:p>
        </w:tc>
        <w:tc>
          <w:tcPr>
            <w:tcW w:w="1231" w:type="dxa"/>
            <w:tcBorders>
              <w:top w:val="nil"/>
              <w:left w:val="nil"/>
              <w:bottom w:val="single" w:sz="4" w:space="0" w:color="auto"/>
              <w:right w:val="single" w:sz="4" w:space="0" w:color="auto"/>
            </w:tcBorders>
            <w:shd w:val="clear" w:color="auto" w:fill="auto"/>
            <w:vAlign w:val="center"/>
            <w:hideMark/>
          </w:tcPr>
          <w:p w14:paraId="210B33A5"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7410,215</w:t>
            </w:r>
          </w:p>
        </w:tc>
        <w:tc>
          <w:tcPr>
            <w:tcW w:w="1623" w:type="dxa"/>
            <w:tcBorders>
              <w:top w:val="nil"/>
              <w:left w:val="nil"/>
              <w:bottom w:val="single" w:sz="4" w:space="0" w:color="auto"/>
              <w:right w:val="single" w:sz="4" w:space="0" w:color="auto"/>
            </w:tcBorders>
            <w:shd w:val="clear" w:color="auto" w:fill="auto"/>
            <w:vAlign w:val="center"/>
            <w:hideMark/>
          </w:tcPr>
          <w:p w14:paraId="45C908B9"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w:t>
            </w:r>
          </w:p>
        </w:tc>
      </w:tr>
      <w:tr w:rsidR="008E30F7" w:rsidRPr="00C15715" w14:paraId="64F14D58" w14:textId="77777777" w:rsidTr="008E30F7">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tcPr>
          <w:p w14:paraId="2C6E8C42" w14:textId="77777777" w:rsidR="008E30F7" w:rsidRPr="00C15715" w:rsidRDefault="008E30F7" w:rsidP="00F97BC0">
            <w:pPr>
              <w:spacing w:after="0" w:line="240" w:lineRule="auto"/>
              <w:rPr>
                <w:rFonts w:eastAsia="Times New Roman" w:cstheme="minorHAnsi"/>
                <w:szCs w:val="24"/>
                <w:lang w:eastAsia="lv-LV"/>
              </w:rPr>
            </w:pPr>
            <w:r w:rsidRPr="00C15715">
              <w:rPr>
                <w:rFonts w:eastAsia="Times New Roman" w:cstheme="minorHAnsi"/>
                <w:szCs w:val="24"/>
                <w:lang w:eastAsia="lv-LV"/>
              </w:rPr>
              <w:t>Kopējais saražotās elektroenerģijas apjoms</w:t>
            </w:r>
          </w:p>
        </w:tc>
        <w:tc>
          <w:tcPr>
            <w:tcW w:w="1323" w:type="dxa"/>
            <w:tcBorders>
              <w:top w:val="nil"/>
              <w:left w:val="nil"/>
              <w:bottom w:val="single" w:sz="4" w:space="0" w:color="auto"/>
              <w:right w:val="single" w:sz="4" w:space="0" w:color="auto"/>
            </w:tcBorders>
            <w:shd w:val="clear" w:color="auto" w:fill="auto"/>
            <w:vAlign w:val="center"/>
          </w:tcPr>
          <w:p w14:paraId="280780A4" w14:textId="77777777" w:rsidR="008E30F7" w:rsidRPr="00C15715" w:rsidRDefault="008E30F7"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6231,257</w:t>
            </w:r>
          </w:p>
        </w:tc>
        <w:tc>
          <w:tcPr>
            <w:tcW w:w="1559" w:type="dxa"/>
            <w:tcBorders>
              <w:top w:val="nil"/>
              <w:left w:val="nil"/>
              <w:bottom w:val="single" w:sz="4" w:space="0" w:color="auto"/>
              <w:right w:val="single" w:sz="4" w:space="0" w:color="auto"/>
            </w:tcBorders>
            <w:shd w:val="clear" w:color="auto" w:fill="auto"/>
            <w:vAlign w:val="center"/>
          </w:tcPr>
          <w:p w14:paraId="42DEE40D" w14:textId="77777777" w:rsidR="008E30F7" w:rsidRPr="00C15715" w:rsidRDefault="008E30F7" w:rsidP="00F97BC0">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7346,336</w:t>
            </w:r>
          </w:p>
        </w:tc>
        <w:tc>
          <w:tcPr>
            <w:tcW w:w="1231" w:type="dxa"/>
            <w:tcBorders>
              <w:top w:val="nil"/>
              <w:left w:val="nil"/>
              <w:bottom w:val="single" w:sz="4" w:space="0" w:color="auto"/>
              <w:right w:val="single" w:sz="4" w:space="0" w:color="auto"/>
            </w:tcBorders>
            <w:shd w:val="clear" w:color="auto" w:fill="auto"/>
            <w:vAlign w:val="center"/>
          </w:tcPr>
          <w:p w14:paraId="7BDFA3B5" w14:textId="77777777" w:rsidR="008E30F7" w:rsidRPr="00C15715" w:rsidRDefault="008E30F7" w:rsidP="00F97BC0">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6501,335</w:t>
            </w:r>
          </w:p>
        </w:tc>
        <w:tc>
          <w:tcPr>
            <w:tcW w:w="1623" w:type="dxa"/>
            <w:tcBorders>
              <w:top w:val="nil"/>
              <w:left w:val="nil"/>
              <w:bottom w:val="single" w:sz="4" w:space="0" w:color="auto"/>
              <w:right w:val="single" w:sz="4" w:space="0" w:color="auto"/>
            </w:tcBorders>
            <w:shd w:val="clear" w:color="auto" w:fill="auto"/>
            <w:vAlign w:val="center"/>
          </w:tcPr>
          <w:p w14:paraId="4D98408D" w14:textId="77777777" w:rsidR="008E30F7" w:rsidRPr="00C15715" w:rsidRDefault="008E30F7" w:rsidP="00F97BC0">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-11,5%</w:t>
            </w:r>
          </w:p>
        </w:tc>
      </w:tr>
      <w:tr w:rsidR="008E30F7" w:rsidRPr="00C15715" w14:paraId="2BE3A9C2" w14:textId="77777777" w:rsidTr="00F97BC0">
        <w:trPr>
          <w:trHeight w:val="56"/>
          <w:jc w:val="center"/>
        </w:trPr>
        <w:tc>
          <w:tcPr>
            <w:tcW w:w="9956" w:type="dxa"/>
            <w:gridSpan w:val="5"/>
            <w:tcBorders>
              <w:top w:val="nil"/>
              <w:left w:val="single" w:sz="4" w:space="0" w:color="auto"/>
              <w:bottom w:val="single" w:sz="4" w:space="0" w:color="auto"/>
              <w:right w:val="single" w:sz="4" w:space="0" w:color="auto"/>
            </w:tcBorders>
            <w:shd w:val="clear" w:color="auto" w:fill="auto"/>
            <w:vAlign w:val="bottom"/>
            <w:hideMark/>
          </w:tcPr>
          <w:p w14:paraId="183106EE" w14:textId="77777777" w:rsidR="008E30F7" w:rsidRPr="00C15715" w:rsidRDefault="008E30F7" w:rsidP="008E30F7">
            <w:pPr>
              <w:spacing w:after="0" w:line="240" w:lineRule="auto"/>
              <w:rPr>
                <w:rFonts w:eastAsia="Times New Roman" w:cstheme="minorHAnsi"/>
                <w:color w:val="000000"/>
                <w:szCs w:val="24"/>
                <w:lang w:eastAsia="lv-LV"/>
              </w:rPr>
            </w:pPr>
            <w:r w:rsidRPr="00C15715">
              <w:rPr>
                <w:rFonts w:eastAsia="Times New Roman" w:cstheme="minorHAnsi"/>
                <w:color w:val="333333"/>
                <w:szCs w:val="24"/>
                <w:lang w:eastAsia="lv-LV"/>
              </w:rPr>
              <w:t> </w:t>
            </w:r>
          </w:p>
        </w:tc>
      </w:tr>
      <w:tr w:rsidR="008E30F7" w:rsidRPr="00C15715" w14:paraId="24B17029" w14:textId="77777777" w:rsidTr="008E30F7">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57F45463" w14:textId="77777777" w:rsidR="008E30F7" w:rsidRPr="00C15715" w:rsidRDefault="008E30F7" w:rsidP="008E30F7">
            <w:pPr>
              <w:spacing w:after="0" w:line="240" w:lineRule="auto"/>
              <w:rPr>
                <w:rFonts w:eastAsia="Times New Roman" w:cstheme="minorHAnsi"/>
                <w:szCs w:val="24"/>
                <w:lang w:eastAsia="lv-LV"/>
              </w:rPr>
            </w:pPr>
            <w:r w:rsidRPr="00C15715">
              <w:rPr>
                <w:rFonts w:eastAsia="Times New Roman" w:cstheme="minorHAnsi"/>
                <w:szCs w:val="24"/>
                <w:lang w:eastAsia="lv-LV"/>
              </w:rPr>
              <w:lastRenderedPageBreak/>
              <w:t>Valsts patēriņa nosegšana, izmantojot vietējās ģenerācijas (%)</w:t>
            </w:r>
          </w:p>
        </w:tc>
        <w:tc>
          <w:tcPr>
            <w:tcW w:w="1323" w:type="dxa"/>
            <w:tcBorders>
              <w:top w:val="nil"/>
              <w:left w:val="nil"/>
              <w:bottom w:val="single" w:sz="4" w:space="0" w:color="auto"/>
              <w:right w:val="single" w:sz="4" w:space="0" w:color="auto"/>
            </w:tcBorders>
            <w:shd w:val="clear" w:color="auto" w:fill="auto"/>
            <w:vAlign w:val="center"/>
            <w:hideMark/>
          </w:tcPr>
          <w:p w14:paraId="53563CCB" w14:textId="77777777" w:rsidR="008E30F7" w:rsidRPr="00C15715" w:rsidRDefault="008E30F7" w:rsidP="008E30F7">
            <w:pPr>
              <w:spacing w:after="0" w:line="240" w:lineRule="auto"/>
              <w:jc w:val="center"/>
              <w:rPr>
                <w:rFonts w:eastAsia="Times New Roman" w:cstheme="minorHAnsi"/>
                <w:szCs w:val="24"/>
                <w:lang w:eastAsia="lv-LV"/>
              </w:rPr>
            </w:pPr>
            <w:r w:rsidRPr="00C15715">
              <w:rPr>
                <w:rFonts w:eastAsia="Times New Roman" w:cstheme="minorHAnsi"/>
                <w:szCs w:val="24"/>
                <w:lang w:eastAsia="lv-LV"/>
              </w:rPr>
              <w:t>85,77</w:t>
            </w:r>
          </w:p>
        </w:tc>
        <w:tc>
          <w:tcPr>
            <w:tcW w:w="1559" w:type="dxa"/>
            <w:tcBorders>
              <w:top w:val="nil"/>
              <w:left w:val="nil"/>
              <w:bottom w:val="single" w:sz="4" w:space="0" w:color="auto"/>
              <w:right w:val="single" w:sz="4" w:space="0" w:color="auto"/>
            </w:tcBorders>
            <w:shd w:val="clear" w:color="auto" w:fill="auto"/>
            <w:vAlign w:val="center"/>
            <w:hideMark/>
          </w:tcPr>
          <w:p w14:paraId="2E6727FD"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100,88</w:t>
            </w:r>
          </w:p>
        </w:tc>
        <w:tc>
          <w:tcPr>
            <w:tcW w:w="1231" w:type="dxa"/>
            <w:tcBorders>
              <w:top w:val="nil"/>
              <w:left w:val="nil"/>
              <w:bottom w:val="single" w:sz="4" w:space="0" w:color="auto"/>
              <w:right w:val="single" w:sz="4" w:space="0" w:color="auto"/>
            </w:tcBorders>
            <w:shd w:val="clear" w:color="auto" w:fill="auto"/>
            <w:vAlign w:val="center"/>
            <w:hideMark/>
          </w:tcPr>
          <w:p w14:paraId="4675F27F"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87,7</w:t>
            </w:r>
          </w:p>
        </w:tc>
        <w:tc>
          <w:tcPr>
            <w:tcW w:w="1623" w:type="dxa"/>
            <w:tcBorders>
              <w:top w:val="nil"/>
              <w:left w:val="nil"/>
              <w:bottom w:val="single" w:sz="4" w:space="0" w:color="auto"/>
              <w:right w:val="single" w:sz="4" w:space="0" w:color="auto"/>
            </w:tcBorders>
            <w:shd w:val="clear" w:color="auto" w:fill="auto"/>
            <w:vAlign w:val="center"/>
            <w:hideMark/>
          </w:tcPr>
          <w:p w14:paraId="35E4C6F5" w14:textId="77777777" w:rsidR="008E30F7" w:rsidRPr="00C15715" w:rsidRDefault="008E30F7" w:rsidP="008E30F7">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13,15 (procentpunkti)</w:t>
            </w:r>
          </w:p>
        </w:tc>
      </w:tr>
    </w:tbl>
    <w:p w14:paraId="46288F7D" w14:textId="431F06F6" w:rsidR="00D87276" w:rsidRPr="00C15715" w:rsidRDefault="00D87276" w:rsidP="00D87276">
      <w:pPr>
        <w:pStyle w:val="Default"/>
        <w:spacing w:before="120" w:after="120"/>
        <w:jc w:val="both"/>
        <w:rPr>
          <w:rFonts w:asciiTheme="minorHAnsi" w:hAnsiTheme="minorHAnsi" w:cstheme="minorHAnsi"/>
        </w:rPr>
      </w:pPr>
      <w:r w:rsidRPr="00C15715">
        <w:rPr>
          <w:rFonts w:asciiTheme="minorHAnsi" w:hAnsiTheme="minorHAnsi" w:cstheme="minorHAnsi"/>
        </w:rPr>
        <w:t>2018.gadā no trešajām valstīm</w:t>
      </w:r>
      <w:r w:rsidR="009A7189">
        <w:rPr>
          <w:rFonts w:asciiTheme="minorHAnsi" w:hAnsiTheme="minorHAnsi" w:cstheme="minorHAnsi"/>
        </w:rPr>
        <w:t xml:space="preserve"> Latvijā tiek importēts </w:t>
      </w:r>
      <w:r w:rsidRPr="00C15715">
        <w:rPr>
          <w:rFonts w:asciiTheme="minorHAnsi" w:hAnsiTheme="minorHAnsi" w:cstheme="minorHAnsi"/>
        </w:rPr>
        <w:t xml:space="preserve">16% no kopējā Baltijas valstu elektroenerģijas importa. 2018.gada pirmajā pusgadā (no janvāra līdz jūnijam) Baltijas valstis no trešajām valstīm ir importējušas 982,5 </w:t>
      </w:r>
      <w:proofErr w:type="spellStart"/>
      <w:r w:rsidRPr="00C15715">
        <w:rPr>
          <w:rFonts w:asciiTheme="minorHAnsi" w:hAnsiTheme="minorHAnsi" w:cstheme="minorHAnsi"/>
        </w:rPr>
        <w:t>GWh</w:t>
      </w:r>
      <w:proofErr w:type="spellEnd"/>
      <w:r w:rsidRPr="00C15715">
        <w:rPr>
          <w:rFonts w:asciiTheme="minorHAnsi" w:hAnsiTheme="minorHAnsi" w:cstheme="minorHAnsi"/>
        </w:rPr>
        <w:t xml:space="preserve">. 2017.gadā elektroenerģijas imports no trešajām valstīm kopā sasniedza 776,4 </w:t>
      </w:r>
      <w:proofErr w:type="spellStart"/>
      <w:r w:rsidRPr="00C15715">
        <w:rPr>
          <w:rFonts w:asciiTheme="minorHAnsi" w:hAnsiTheme="minorHAnsi" w:cstheme="minorHAnsi"/>
        </w:rPr>
        <w:t>GWh</w:t>
      </w:r>
      <w:proofErr w:type="spellEnd"/>
      <w:r w:rsidRPr="00C15715">
        <w:rPr>
          <w:rFonts w:asciiTheme="minorHAnsi" w:hAnsiTheme="minorHAnsi" w:cstheme="minorHAnsi"/>
        </w:rPr>
        <w:t xml:space="preserve">, kas ir 16% samazinājums pret 2016.g. Savukārt eksports no Latvijas elektroenerģijas sistēmas ir palielinājies par aptuveni 9% salīdzinājumā ar 2016.gadu. </w:t>
      </w:r>
    </w:p>
    <w:p w14:paraId="1D1589E6" w14:textId="77777777" w:rsidR="00D87276" w:rsidRPr="00C15715" w:rsidRDefault="00D87276" w:rsidP="00D87276">
      <w:pPr>
        <w:pStyle w:val="Default"/>
        <w:spacing w:before="120" w:after="120"/>
        <w:jc w:val="both"/>
        <w:rPr>
          <w:rFonts w:asciiTheme="minorHAnsi" w:hAnsiTheme="minorHAnsi" w:cstheme="minorHAnsi"/>
        </w:rPr>
      </w:pPr>
      <w:r w:rsidRPr="00C15715">
        <w:rPr>
          <w:rFonts w:asciiTheme="minorHAnsi" w:hAnsiTheme="minorHAnsi" w:cstheme="minorHAnsi"/>
        </w:rPr>
        <w:t xml:space="preserve">Kā būtisks esošos darbības nosacījumus raksturojošs apstāklis ir jāmin arī Baltijas, Krievijas un Baltkrievijas pārvades sistēmas operatoru noslēgtais BRELL līgums (Belarus, </w:t>
      </w:r>
      <w:proofErr w:type="spellStart"/>
      <w:r w:rsidRPr="00C15715">
        <w:rPr>
          <w:rFonts w:asciiTheme="minorHAnsi" w:hAnsiTheme="minorHAnsi" w:cstheme="minorHAnsi"/>
        </w:rPr>
        <w:t>Russia</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Estonia</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Lithuania</w:t>
      </w:r>
      <w:proofErr w:type="spellEnd"/>
      <w:r w:rsidRPr="00C15715">
        <w:rPr>
          <w:rFonts w:asciiTheme="minorHAnsi" w:hAnsiTheme="minorHAnsi" w:cstheme="minorHAnsi"/>
        </w:rPr>
        <w:t xml:space="preserve">, Latvia), kas reglamentē iesaistīto sinhroni strādājošo valstu energosistēmu operatoru savstarpējo palīdzību un cita starpā paredz sadarbību avārijas rezervju uzturēšanā 500 MW apjomā, no kurām katra no dalībvalstīm nodrošina 100 MW.  </w:t>
      </w:r>
    </w:p>
    <w:p w14:paraId="5E580E13"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Attiecībā uz enerģētiskās drošības mērķi, Latvija to izpilda ar esošajiem pasākumiem un esošajām tehnoloģijām, jo Latvijā darbojas Inčukalna dabasgāzes pazemes gāzes krātuve ar kopējo kapacitāti – 24 219 </w:t>
      </w:r>
      <w:proofErr w:type="spellStart"/>
      <w:r w:rsidRPr="00C15715">
        <w:rPr>
          <w:rFonts w:asciiTheme="minorHAnsi" w:hAnsiTheme="minorHAnsi" w:cstheme="minorHAnsi"/>
        </w:rPr>
        <w:t>GWh</w:t>
      </w:r>
      <w:proofErr w:type="spellEnd"/>
      <w:r w:rsidRPr="00C15715">
        <w:rPr>
          <w:rFonts w:asciiTheme="minorHAnsi" w:hAnsiTheme="minorHAnsi" w:cstheme="minorHAnsi"/>
        </w:rPr>
        <w:t xml:space="preserve">, kas nodrošina reģionālās </w:t>
      </w:r>
      <w:proofErr w:type="spellStart"/>
      <w:r w:rsidRPr="00C15715">
        <w:rPr>
          <w:rFonts w:asciiTheme="minorHAnsi" w:hAnsiTheme="minorHAnsi" w:cstheme="minorHAnsi"/>
        </w:rPr>
        <w:t>gāzapgādes</w:t>
      </w:r>
      <w:proofErr w:type="spellEnd"/>
      <w:r w:rsidRPr="00C15715">
        <w:rPr>
          <w:rFonts w:asciiTheme="minorHAnsi" w:hAnsiTheme="minorHAnsi" w:cstheme="minorHAnsi"/>
        </w:rPr>
        <w:t xml:space="preserve"> stabilitāti un piegādā dabasgāzi klientiem Latvijā, Igaunijā, Krievijas ziemeļrietumu reģionā un Lietuvā.</w:t>
      </w:r>
    </w:p>
    <w:p w14:paraId="7320E0B7" w14:textId="0381ABF8"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Dabasgāzes sistēmas funkcionēšana viena sistēmas objekta iztrūkuma gadījumā tiek izvērtēti un sagatavota pēc Eiropas Parlamenta un Padomes 2017.gada 25.oktobra regulā Nr.2017/1938 par gāzes piegādes drošības aizsardzības pasākumiem un ar ko atceļ Regulu (ES) Nr. 994/2010 aprakstītās metodikas, kas ņem vērā “N-1 principu”</w:t>
      </w:r>
      <w:r w:rsidRPr="00C15715">
        <w:rPr>
          <w:rStyle w:val="FootnoteReference"/>
          <w:rFonts w:asciiTheme="minorHAnsi" w:hAnsiTheme="minorHAnsi" w:cstheme="minorHAnsi"/>
        </w:rPr>
        <w:footnoteReference w:id="23"/>
      </w:r>
      <w:r w:rsidRPr="00C15715">
        <w:rPr>
          <w:rFonts w:asciiTheme="minorHAnsi" w:hAnsiTheme="minorHAnsi" w:cstheme="minorHAnsi"/>
        </w:rPr>
        <w:t xml:space="preserve"> jeb darbības kļūmi vienotajā lielākajā dabasgāzes infrastruktūrā. N-1 ļauj novērtēt dabasgāzes patērētāju aizsargātības līmeni jeb gāzes infrastruktūras drošību izvēlētajā teritorijā procentuālā izteiksmē, ņemot vērā dažādu dabasgāzes sistēmas elementu raksturlielumus.</w:t>
      </w:r>
    </w:p>
    <w:p w14:paraId="4F59C94F" w14:textId="7F234B9F" w:rsidR="00D87276" w:rsidRPr="00C15715" w:rsidRDefault="00F97BC0" w:rsidP="00D87276">
      <w:pPr>
        <w:pStyle w:val="paragraph"/>
        <w:spacing w:before="120" w:beforeAutospacing="0" w:after="120" w:afterAutospacing="0"/>
        <w:jc w:val="center"/>
        <w:textAlignment w:val="baseline"/>
        <w:rPr>
          <w:rFonts w:asciiTheme="minorHAnsi" w:hAnsiTheme="minorHAnsi" w:cstheme="minorHAnsi"/>
        </w:rPr>
      </w:pPr>
      <w:r>
        <w:rPr>
          <w:rFonts w:asciiTheme="minorHAnsi" w:hAnsiTheme="minorHAnsi" w:cstheme="minorHAnsi"/>
          <w:noProof/>
        </w:rPr>
        <w:drawing>
          <wp:inline distT="0" distB="0" distL="0" distR="0" wp14:anchorId="29ECABF3" wp14:editId="0AE495F8">
            <wp:extent cx="2931889" cy="2623930"/>
            <wp:effectExtent l="0" t="0" r="190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349" cy="2646716"/>
                    </a:xfrm>
                    <a:prstGeom prst="rect">
                      <a:avLst/>
                    </a:prstGeom>
                    <a:noFill/>
                  </pic:spPr>
                </pic:pic>
              </a:graphicData>
            </a:graphic>
          </wp:inline>
        </w:drawing>
      </w:r>
    </w:p>
    <w:p w14:paraId="428CCD37" w14:textId="7F454B4A"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15</w:t>
      </w:r>
      <w:r w:rsidRPr="00C15715">
        <w:rPr>
          <w:rFonts w:asciiTheme="minorHAnsi" w:hAnsiTheme="minorHAnsi" w:cstheme="minorHAnsi"/>
          <w:noProof/>
        </w:rPr>
        <w:fldChar w:fldCharType="end"/>
      </w:r>
      <w:r w:rsidRPr="00C15715">
        <w:rPr>
          <w:rFonts w:asciiTheme="minorHAnsi" w:hAnsiTheme="minorHAnsi" w:cstheme="minorHAnsi"/>
        </w:rPr>
        <w:t>.attēls. N-1 aprēķina rezultāts</w:t>
      </w:r>
      <w:r w:rsidRPr="00C15715">
        <w:rPr>
          <w:rStyle w:val="FootnoteReference"/>
          <w:rFonts w:asciiTheme="minorHAnsi" w:hAnsiTheme="minorHAnsi" w:cstheme="minorHAnsi"/>
        </w:rPr>
        <w:footnoteReference w:id="24"/>
      </w:r>
      <w:r w:rsidRPr="00C15715">
        <w:rPr>
          <w:rFonts w:asciiTheme="minorHAnsi" w:hAnsiTheme="minorHAnsi" w:cstheme="minorHAnsi"/>
        </w:rPr>
        <w:t xml:space="preserve"> atkarībā no Inčukalna PGK piepildījuma 2017.gadā</w:t>
      </w:r>
      <w:r w:rsidRPr="00C15715">
        <w:rPr>
          <w:rStyle w:val="FootnoteReference"/>
          <w:rFonts w:asciiTheme="minorHAnsi" w:hAnsiTheme="minorHAnsi" w:cstheme="minorHAnsi"/>
        </w:rPr>
        <w:footnoteReference w:id="25"/>
      </w:r>
    </w:p>
    <w:p w14:paraId="2EA997F0" w14:textId="63709391" w:rsidR="00D87276" w:rsidRPr="00C15715" w:rsidRDefault="00D87276" w:rsidP="00D87276">
      <w:pPr>
        <w:spacing w:before="120" w:after="120" w:line="240" w:lineRule="auto"/>
        <w:jc w:val="both"/>
        <w:rPr>
          <w:rFonts w:cstheme="minorHAnsi"/>
        </w:rPr>
      </w:pPr>
      <w:r w:rsidRPr="00C15715">
        <w:rPr>
          <w:rFonts w:cstheme="minorHAnsi"/>
        </w:rPr>
        <w:t xml:space="preserve">N-1 vērtība ir tieši proporcionāla Inčukalna PGK piepildījumam. Saskaņā ar Regulu Nr. 2017/1938 vērtība abās situācijās pārsniedz regulā noteikto minimumu, un no aprēķinu </w:t>
      </w:r>
      <w:r w:rsidRPr="00C15715">
        <w:rPr>
          <w:rFonts w:cstheme="minorHAnsi"/>
        </w:rPr>
        <w:lastRenderedPageBreak/>
        <w:t>rezultātiem secināms, ka dabasgāzes apgādes drošība Latvijā ir augstā līmenī</w:t>
      </w:r>
      <w:r w:rsidR="00F97BC0">
        <w:rPr>
          <w:rFonts w:cstheme="minorHAnsi"/>
        </w:rPr>
        <w:t xml:space="preserve">, jo būtiski pārsniedz norādīto 100% </w:t>
      </w:r>
      <w:proofErr w:type="spellStart"/>
      <w:r w:rsidR="00F97BC0">
        <w:rPr>
          <w:rFonts w:cstheme="minorHAnsi"/>
        </w:rPr>
        <w:t>līmeņatzīmi</w:t>
      </w:r>
      <w:proofErr w:type="spellEnd"/>
      <w:r w:rsidR="00F97BC0">
        <w:rPr>
          <w:rFonts w:cstheme="minorHAnsi"/>
        </w:rPr>
        <w:t>.</w:t>
      </w:r>
    </w:p>
    <w:p w14:paraId="3B36ADAD" w14:textId="77777777" w:rsidR="00D87276" w:rsidRPr="00C15715" w:rsidRDefault="00D87276" w:rsidP="00D87276">
      <w:pPr>
        <w:pStyle w:val="Heading30"/>
      </w:pPr>
      <w:r w:rsidRPr="00C15715">
        <w:t xml:space="preserve">Attīstības prognozes </w:t>
      </w:r>
    </w:p>
    <w:p w14:paraId="3BB1975F"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Ir paredzams, ka Latvija nodrošinās noteikto enerģētiskās drošības un atkarības samazināšanas mērķu izpildi, galvenokārt pateicoties:</w:t>
      </w:r>
    </w:p>
    <w:p w14:paraId="2708E2F7" w14:textId="77777777" w:rsidR="00D87276" w:rsidRPr="00C15715" w:rsidRDefault="00D87276" w:rsidP="00D87276">
      <w:pPr>
        <w:pStyle w:val="paragraph"/>
        <w:numPr>
          <w:ilvl w:val="0"/>
          <w:numId w:val="5"/>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īstenotajiem dažādu AER tehnoloģiju – vēja enerģija, saules enerģija, ieviešanas, AER izmantošanas veicināšanas un AER dažādošanas pasākumiem;</w:t>
      </w:r>
    </w:p>
    <w:p w14:paraId="1AF7F433" w14:textId="4EDBEE9B" w:rsidR="00D87276" w:rsidRPr="00C15715" w:rsidRDefault="00D87276" w:rsidP="00D87276">
      <w:pPr>
        <w:pStyle w:val="paragraph"/>
        <w:numPr>
          <w:ilvl w:val="0"/>
          <w:numId w:val="5"/>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 xml:space="preserve">īstenotajiem energoefektivitātes pasākumiem, samazinot nepieciešamību gan </w:t>
      </w:r>
      <w:r w:rsidR="00E47B85" w:rsidRPr="00C15715">
        <w:rPr>
          <w:rFonts w:asciiTheme="minorHAnsi" w:hAnsiTheme="minorHAnsi" w:cstheme="minorHAnsi"/>
        </w:rPr>
        <w:t xml:space="preserve">pēc </w:t>
      </w:r>
      <w:r w:rsidRPr="00C15715">
        <w:rPr>
          <w:rFonts w:asciiTheme="minorHAnsi" w:hAnsiTheme="minorHAnsi" w:cstheme="minorHAnsi"/>
        </w:rPr>
        <w:t>vietējās, gan importētās enerģijas;</w:t>
      </w:r>
    </w:p>
    <w:p w14:paraId="35601388" w14:textId="77777777" w:rsidR="00D87276" w:rsidRPr="00C15715" w:rsidRDefault="00D87276" w:rsidP="00D87276">
      <w:pPr>
        <w:pStyle w:val="paragraph"/>
        <w:numPr>
          <w:ilvl w:val="0"/>
          <w:numId w:val="5"/>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elektroenerģijas sinhronizācijas pasākumiem, kuru īstenošana jau ir sākta;</w:t>
      </w:r>
    </w:p>
    <w:p w14:paraId="41DA1B6D" w14:textId="77777777" w:rsidR="00D87276" w:rsidRPr="00C15715" w:rsidRDefault="00D87276" w:rsidP="00D87276">
      <w:pPr>
        <w:pStyle w:val="paragraph"/>
        <w:numPr>
          <w:ilvl w:val="0"/>
          <w:numId w:val="5"/>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dabasgāzes reģionālā tirgus darbības uzsākšanai;</w:t>
      </w:r>
    </w:p>
    <w:p w14:paraId="675B0853" w14:textId="77777777" w:rsidR="00D87276" w:rsidRPr="00C15715" w:rsidRDefault="00D87276" w:rsidP="00D87276">
      <w:pPr>
        <w:pStyle w:val="paragraph"/>
        <w:numPr>
          <w:ilvl w:val="0"/>
          <w:numId w:val="5"/>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veiktajiem elektroenerģijas un dabasgāzes tirgus atvēršanas pasākumiem, tirgū nodrošinot brīvu konkurenci un lietotājiem nodrošinot iespēju izvēlēties sev piemērotāko enerģijas piegādātāju.</w:t>
      </w:r>
    </w:p>
    <w:p w14:paraId="2A5B4F4A" w14:textId="2023603D" w:rsidR="00D87276" w:rsidRDefault="00D87276" w:rsidP="00C87757">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Tiek prognozēts, ka periodā līdz 2030.gadam tiks pabeigts elektrotīklu sinhronizācijas projekts, jo 2018.gadā Baltijas valstis parakstīja ar Poliju un EK kopīgu dokumentu par Baltijas valstu elektrotīklu sinhronizāciju ar kontinentālo Eiropu, kas paredz nodrošināt Latvijas, Igaunijas un Lietuvas </w:t>
      </w:r>
      <w:proofErr w:type="spellStart"/>
      <w:r w:rsidRPr="00C15715">
        <w:rPr>
          <w:rFonts w:asciiTheme="minorHAnsi" w:hAnsiTheme="minorHAnsi" w:cstheme="minorHAnsi"/>
        </w:rPr>
        <w:t>energotīklu</w:t>
      </w:r>
      <w:proofErr w:type="spellEnd"/>
      <w:r w:rsidRPr="00C15715">
        <w:rPr>
          <w:rFonts w:asciiTheme="minorHAnsi" w:hAnsiTheme="minorHAnsi" w:cstheme="minorHAnsi"/>
        </w:rPr>
        <w:t xml:space="preserve"> sinhronizāciju ar kontinentālo Eiropu un tādējādi nodrošināt ciešāku integrāciju Eiropas tirgū, intensīvāku konkurenci, uzlabotu enerģētisko drošību, mazinot vēsturiski pārāk augsto Baltijas valstu atkarību no mūsu Krievijas. </w:t>
      </w:r>
    </w:p>
    <w:p w14:paraId="192BB4AC" w14:textId="77777777" w:rsidR="00B82F56" w:rsidRPr="00F1046D" w:rsidRDefault="00D87276" w:rsidP="00F1046D">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Tiek prognozēts, ka 2020.gadā darbu uzsāks vienotais dabasgāzes reģionālais tirgus. Šajā procesā tiks izveidots Somijas un Igaunijas dabasgāzes sistēmu savienojums, kas Baltijas valstu reģionālajā tirgū pilnvērtīgi ļaus iesaistīties arī Somijai, bet, Lietuvas – Polijas pārvades savienojums nodrošinās piekļuvi pārējo Eiropas valstu dabasgāzes tirgiem un ievērojami samazinās reģiona atkarību no dominējošā piegādātāja. Latvijā pirmos darbus saistībā ar Baltijas un Somijas dabasgāzes tirgu integrēšanu uzsāks 2020.gadā, kad dabasgāzes cauruļvads “</w:t>
      </w:r>
      <w:proofErr w:type="spellStart"/>
      <w:r w:rsidRPr="00F1046D">
        <w:rPr>
          <w:rFonts w:asciiTheme="minorHAnsi" w:hAnsiTheme="minorHAnsi" w:cstheme="minorHAnsi"/>
        </w:rPr>
        <w:t>Balticconnector</w:t>
      </w:r>
      <w:proofErr w:type="spellEnd"/>
      <w:r w:rsidRPr="00F1046D">
        <w:rPr>
          <w:rFonts w:asciiTheme="minorHAnsi" w:hAnsiTheme="minorHAnsi" w:cstheme="minorHAnsi"/>
        </w:rPr>
        <w:t>” savienos Igaunijas un Somijas dabasgāzes tirgus.</w:t>
      </w:r>
      <w:r w:rsidR="00C87757" w:rsidRPr="00F1046D">
        <w:rPr>
          <w:rFonts w:asciiTheme="minorHAnsi" w:hAnsiTheme="minorHAnsi" w:cstheme="minorHAnsi"/>
        </w:rPr>
        <w:t xml:space="preserve"> </w:t>
      </w:r>
      <w:r w:rsidRPr="00F1046D">
        <w:rPr>
          <w:rFonts w:asciiTheme="minorHAnsi" w:hAnsiTheme="minorHAnsi" w:cstheme="minorHAnsi"/>
        </w:rPr>
        <w:t>Tiek prognozēts, ka periodā līdz 2030.gadam tiks turpināts izmantot iespējamā apjomā Inčukalna pazemes gāzes krātuve, kas šobrīd tiek izmantota dabasgāzes uzglabāšanai.</w:t>
      </w:r>
      <w:r w:rsidR="00B82F56" w:rsidRPr="00F1046D">
        <w:rPr>
          <w:rFonts w:asciiTheme="minorHAnsi" w:hAnsiTheme="minorHAnsi" w:cstheme="minorHAnsi"/>
        </w:rPr>
        <w:t xml:space="preserve"> </w:t>
      </w:r>
    </w:p>
    <w:p w14:paraId="144E4258" w14:textId="77777777" w:rsidR="00D87276" w:rsidRPr="00C15715" w:rsidRDefault="00D87276" w:rsidP="00D87276">
      <w:pPr>
        <w:rPr>
          <w:rFonts w:cstheme="minorHAnsi"/>
        </w:rPr>
      </w:pPr>
    </w:p>
    <w:p w14:paraId="1953F593" w14:textId="77777777" w:rsidR="00D87276" w:rsidRPr="00C15715" w:rsidRDefault="00D87276" w:rsidP="00D87276">
      <w:pPr>
        <w:pStyle w:val="Heading20"/>
      </w:pPr>
      <w:bookmarkStart w:id="9" w:name="_Toc17878293"/>
      <w:r w:rsidRPr="00C15715">
        <w:t>Iekšējais enerģijas tirgus</w:t>
      </w:r>
      <w:bookmarkEnd w:id="9"/>
      <w:r w:rsidRPr="00C15715">
        <w:t xml:space="preserve"> </w:t>
      </w:r>
    </w:p>
    <w:p w14:paraId="4500C671" w14:textId="77777777" w:rsidR="00D87276" w:rsidRPr="00C15715" w:rsidRDefault="00D87276" w:rsidP="00D87276">
      <w:pPr>
        <w:pStyle w:val="Heading30"/>
      </w:pPr>
      <w:r w:rsidRPr="00C15715">
        <w:t xml:space="preserve">Elektrotīklu </w:t>
      </w:r>
      <w:proofErr w:type="spellStart"/>
      <w:r w:rsidRPr="00C15715">
        <w:t>starpsavienotība</w:t>
      </w:r>
      <w:proofErr w:type="spellEnd"/>
    </w:p>
    <w:p w14:paraId="49C9C62D" w14:textId="77777777" w:rsidR="00D87276" w:rsidRPr="00C15715" w:rsidRDefault="00D87276" w:rsidP="00D87276">
      <w:pPr>
        <w:pStyle w:val="Heading4"/>
      </w:pPr>
      <w:r w:rsidRPr="00C15715">
        <w:t xml:space="preserve">Pašreizējais </w:t>
      </w:r>
      <w:proofErr w:type="spellStart"/>
      <w:r w:rsidRPr="00C15715">
        <w:t>starpsavienojumu</w:t>
      </w:r>
      <w:proofErr w:type="spellEnd"/>
      <w:r w:rsidRPr="00C15715">
        <w:t xml:space="preserve"> līmenis un galvenie </w:t>
      </w:r>
      <w:proofErr w:type="spellStart"/>
      <w:r w:rsidRPr="00C15715">
        <w:t>starpsavienotāji</w:t>
      </w:r>
      <w:proofErr w:type="spellEnd"/>
    </w:p>
    <w:p w14:paraId="5CC4801E" w14:textId="77777777" w:rsidR="00D87276" w:rsidRPr="00C15715" w:rsidRDefault="00D87276" w:rsidP="00293E59">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Atkarībā no ražošanas apjomiem un kaimiņvalstīs veicamajiem remontdarbiem pašreizējā Latvijas un Igaunijas </w:t>
      </w:r>
      <w:proofErr w:type="spellStart"/>
      <w:r w:rsidRPr="00C15715">
        <w:rPr>
          <w:rFonts w:eastAsia="Times New Roman" w:cstheme="minorHAnsi"/>
          <w:szCs w:val="24"/>
          <w:lang w:eastAsia="lv-LV"/>
        </w:rPr>
        <w:t>starpsavienojuma</w:t>
      </w:r>
      <w:proofErr w:type="spellEnd"/>
      <w:r w:rsidRPr="00C15715">
        <w:rPr>
          <w:rFonts w:eastAsia="Times New Roman" w:cstheme="minorHAnsi"/>
          <w:szCs w:val="24"/>
          <w:lang w:eastAsia="lv-LV"/>
        </w:rPr>
        <w:t xml:space="preserve"> pieejamā jauda ir līdz 900 MW un Lietuvas un Latvijas savienojama jauda – līdz 1300 MW. Neto pārvades jauda bija 535 794 </w:t>
      </w:r>
      <w:proofErr w:type="spellStart"/>
      <w:r w:rsidRPr="00C15715">
        <w:rPr>
          <w:rFonts w:eastAsia="Times New Roman" w:cstheme="minorHAnsi"/>
          <w:szCs w:val="24"/>
          <w:lang w:eastAsia="lv-LV"/>
        </w:rPr>
        <w:t>MWh</w:t>
      </w:r>
      <w:proofErr w:type="spellEnd"/>
      <w:r w:rsidRPr="00C15715">
        <w:rPr>
          <w:rFonts w:eastAsia="Times New Roman" w:cstheme="minorHAnsi"/>
          <w:szCs w:val="24"/>
          <w:lang w:eastAsia="lv-LV"/>
        </w:rPr>
        <w:t xml:space="preserve">. Jaunākie </w:t>
      </w:r>
      <w:proofErr w:type="spellStart"/>
      <w:r w:rsidRPr="00C15715">
        <w:rPr>
          <w:rFonts w:eastAsia="Times New Roman" w:cstheme="minorHAnsi"/>
          <w:szCs w:val="24"/>
          <w:lang w:eastAsia="lv-LV"/>
        </w:rPr>
        <w:t>starpsavienojumi</w:t>
      </w:r>
      <w:proofErr w:type="spellEnd"/>
      <w:r w:rsidRPr="00C15715">
        <w:rPr>
          <w:rFonts w:eastAsia="Times New Roman" w:cstheme="minorHAnsi"/>
          <w:szCs w:val="24"/>
          <w:lang w:eastAsia="lv-LV"/>
        </w:rPr>
        <w:t xml:space="preserve"> - 700 MW "</w:t>
      </w:r>
      <w:proofErr w:type="spellStart"/>
      <w:r w:rsidRPr="00C15715">
        <w:rPr>
          <w:rFonts w:eastAsia="Times New Roman" w:cstheme="minorHAnsi"/>
          <w:szCs w:val="24"/>
          <w:lang w:eastAsia="lv-LV"/>
        </w:rPr>
        <w:t>NordBalt</w:t>
      </w:r>
      <w:proofErr w:type="spellEnd"/>
      <w:r w:rsidRPr="00C15715">
        <w:rPr>
          <w:rFonts w:eastAsia="Times New Roman" w:cstheme="minorHAnsi"/>
          <w:szCs w:val="24"/>
          <w:lang w:eastAsia="lv-LV"/>
        </w:rPr>
        <w:t>" zemūdens kabelis starp Lietuvu un Zviedriju un 500 MW pārvades līnija "</w:t>
      </w:r>
      <w:proofErr w:type="spellStart"/>
      <w:r w:rsidRPr="00C15715">
        <w:rPr>
          <w:rFonts w:eastAsia="Times New Roman" w:cstheme="minorHAnsi"/>
          <w:szCs w:val="24"/>
          <w:lang w:eastAsia="lv-LV"/>
        </w:rPr>
        <w:t>LitPol</w:t>
      </w:r>
      <w:proofErr w:type="spellEnd"/>
      <w:r w:rsidRPr="00C15715">
        <w:rPr>
          <w:rFonts w:eastAsia="Times New Roman" w:cstheme="minorHAnsi"/>
          <w:szCs w:val="24"/>
          <w:lang w:eastAsia="lv-LV"/>
        </w:rPr>
        <w:t xml:space="preserve">" starp Lietuvu un Poliju - palielina Baltijas energosistēmas kopējo </w:t>
      </w:r>
      <w:proofErr w:type="spellStart"/>
      <w:r w:rsidRPr="00C15715">
        <w:rPr>
          <w:rFonts w:eastAsia="Times New Roman" w:cstheme="minorHAnsi"/>
          <w:szCs w:val="24"/>
          <w:lang w:eastAsia="lv-LV"/>
        </w:rPr>
        <w:t>starpsavienojumu</w:t>
      </w:r>
      <w:proofErr w:type="spellEnd"/>
      <w:r w:rsidRPr="00C15715">
        <w:rPr>
          <w:rFonts w:eastAsia="Times New Roman" w:cstheme="minorHAnsi"/>
          <w:szCs w:val="24"/>
          <w:lang w:eastAsia="lv-LV"/>
        </w:rPr>
        <w:t xml:space="preserve"> jaudu ar Eiropas elektroenerģijas tirgu no agrākajiem 1 000 MW līdz 2 200 MW.</w:t>
      </w:r>
    </w:p>
    <w:p w14:paraId="7973DB95" w14:textId="5EF003F5" w:rsidR="00D87276" w:rsidRPr="00C15715" w:rsidRDefault="00D87276" w:rsidP="00293E59">
      <w:pPr>
        <w:pStyle w:val="Caption"/>
        <w:rPr>
          <w:rFonts w:asciiTheme="minorHAnsi" w:hAnsiTheme="minorHAnsi" w:cstheme="minorHAnsi"/>
        </w:rPr>
      </w:pPr>
      <w:r w:rsidRPr="00C15715">
        <w:rPr>
          <w:rFonts w:asciiTheme="minorHAnsi" w:hAnsiTheme="minorHAnsi" w:cstheme="minorHAnsi"/>
          <w:noProof/>
        </w:rPr>
        <w:lastRenderedPageBreak/>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1121B4">
        <w:rPr>
          <w:rFonts w:asciiTheme="minorHAnsi" w:hAnsiTheme="minorHAnsi" w:cstheme="minorHAnsi"/>
          <w:noProof/>
        </w:rPr>
        <w:t>5</w:t>
      </w:r>
      <w:r w:rsidRPr="00C15715">
        <w:rPr>
          <w:rFonts w:asciiTheme="minorHAnsi" w:hAnsiTheme="minorHAnsi" w:cstheme="minorHAnsi"/>
          <w:noProof/>
        </w:rPr>
        <w:fldChar w:fldCharType="end"/>
      </w:r>
      <w:r w:rsidRPr="00C15715">
        <w:rPr>
          <w:rFonts w:asciiTheme="minorHAnsi" w:hAnsiTheme="minorHAnsi" w:cstheme="minorHAnsi"/>
        </w:rPr>
        <w:t xml:space="preserve">.tabula. Izveidotie </w:t>
      </w:r>
      <w:proofErr w:type="spellStart"/>
      <w:r w:rsidRPr="00C15715">
        <w:rPr>
          <w:rFonts w:asciiTheme="minorHAnsi" w:hAnsiTheme="minorHAnsi" w:cstheme="minorHAnsi"/>
        </w:rPr>
        <w:t>starpsavienojumi</w:t>
      </w:r>
      <w:proofErr w:type="spellEnd"/>
      <w:r w:rsidRPr="00C15715">
        <w:rPr>
          <w:rFonts w:asciiTheme="minorHAnsi" w:hAnsiTheme="minorHAnsi" w:cstheme="minorHAnsi"/>
        </w:rPr>
        <w:t>, to noslogotība 201</w:t>
      </w:r>
      <w:r w:rsidR="00293E59" w:rsidRPr="00C15715">
        <w:rPr>
          <w:rFonts w:asciiTheme="minorHAnsi" w:hAnsiTheme="minorHAnsi" w:cstheme="minorHAnsi"/>
        </w:rPr>
        <w:t>8</w:t>
      </w:r>
      <w:r w:rsidRPr="00C15715">
        <w:rPr>
          <w:rFonts w:asciiTheme="minorHAnsi" w:hAnsiTheme="minorHAnsi" w:cstheme="minorHAnsi"/>
        </w:rPr>
        <w:t>.gadā un izmaiņas</w:t>
      </w:r>
      <w:r w:rsidR="00E47B85">
        <w:rPr>
          <w:rStyle w:val="FootnoteReference"/>
          <w:rFonts w:asciiTheme="minorHAnsi" w:hAnsiTheme="minorHAnsi" w:cstheme="minorHAnsi"/>
        </w:rPr>
        <w:footnoteReference w:id="26"/>
      </w:r>
      <w:r w:rsidRPr="00C15715">
        <w:rPr>
          <w:rFonts w:asciiTheme="minorHAnsi" w:hAnsiTheme="minorHAnsi" w:cstheme="minorHAnsi"/>
        </w:rPr>
        <w:t xml:space="preserve"> </w:t>
      </w:r>
    </w:p>
    <w:tbl>
      <w:tblPr>
        <w:tblStyle w:val="TableGrid"/>
        <w:tblW w:w="8642" w:type="dxa"/>
        <w:jc w:val="center"/>
        <w:tblLook w:val="04A0" w:firstRow="1" w:lastRow="0" w:firstColumn="1" w:lastColumn="0" w:noHBand="0" w:noVBand="1"/>
      </w:tblPr>
      <w:tblGrid>
        <w:gridCol w:w="1952"/>
        <w:gridCol w:w="1610"/>
        <w:gridCol w:w="1762"/>
        <w:gridCol w:w="1629"/>
        <w:gridCol w:w="1689"/>
      </w:tblGrid>
      <w:tr w:rsidR="00293E59" w:rsidRPr="00C15715" w14:paraId="06DE3AAC" w14:textId="77777777" w:rsidTr="00293E59">
        <w:trPr>
          <w:tblHeader/>
          <w:jc w:val="center"/>
        </w:trPr>
        <w:tc>
          <w:tcPr>
            <w:tcW w:w="1920" w:type="dxa"/>
            <w:shd w:val="clear" w:color="auto" w:fill="F2F2F2" w:themeFill="background1" w:themeFillShade="F2"/>
          </w:tcPr>
          <w:p w14:paraId="6CBBD76A" w14:textId="77777777" w:rsidR="00293E59" w:rsidRPr="00C15715" w:rsidRDefault="00293E59" w:rsidP="009A7189">
            <w:pPr>
              <w:jc w:val="center"/>
              <w:rPr>
                <w:rFonts w:cstheme="minorHAnsi"/>
                <w:b/>
                <w:bCs/>
                <w:sz w:val="22"/>
              </w:rPr>
            </w:pPr>
            <w:proofErr w:type="spellStart"/>
            <w:r w:rsidRPr="00C15715">
              <w:rPr>
                <w:rFonts w:cstheme="minorHAnsi"/>
                <w:b/>
                <w:bCs/>
                <w:sz w:val="22"/>
              </w:rPr>
              <w:t>Starpsavienojumi</w:t>
            </w:r>
            <w:proofErr w:type="spellEnd"/>
            <w:r w:rsidR="00404F51" w:rsidRPr="00C15715">
              <w:rPr>
                <w:rStyle w:val="FootnoteReference"/>
                <w:rFonts w:cstheme="minorHAnsi"/>
                <w:b/>
                <w:bCs/>
                <w:sz w:val="22"/>
              </w:rPr>
              <w:footnoteReference w:id="27"/>
            </w:r>
          </w:p>
        </w:tc>
        <w:tc>
          <w:tcPr>
            <w:tcW w:w="1616" w:type="dxa"/>
            <w:shd w:val="clear" w:color="auto" w:fill="F2F2F2" w:themeFill="background1" w:themeFillShade="F2"/>
          </w:tcPr>
          <w:p w14:paraId="7D43FA1C" w14:textId="77777777" w:rsidR="00293E59" w:rsidRPr="00C15715" w:rsidRDefault="00293E59" w:rsidP="009A7189">
            <w:pPr>
              <w:jc w:val="center"/>
              <w:rPr>
                <w:rFonts w:cstheme="minorHAnsi"/>
                <w:b/>
                <w:bCs/>
                <w:sz w:val="22"/>
              </w:rPr>
            </w:pPr>
            <w:r w:rsidRPr="00C15715">
              <w:rPr>
                <w:rFonts w:cstheme="minorHAnsi"/>
                <w:b/>
                <w:bCs/>
                <w:sz w:val="22"/>
              </w:rPr>
              <w:t>Vidējā</w:t>
            </w:r>
          </w:p>
          <w:p w14:paraId="33DF0713" w14:textId="77777777" w:rsidR="00293E59" w:rsidRPr="00C15715" w:rsidRDefault="00293E59" w:rsidP="009A7189">
            <w:pPr>
              <w:jc w:val="center"/>
              <w:rPr>
                <w:rFonts w:cstheme="minorHAnsi"/>
                <w:b/>
                <w:bCs/>
                <w:sz w:val="22"/>
              </w:rPr>
            </w:pPr>
            <w:r w:rsidRPr="00C15715">
              <w:rPr>
                <w:rFonts w:cstheme="minorHAnsi"/>
                <w:b/>
                <w:bCs/>
                <w:sz w:val="22"/>
              </w:rPr>
              <w:t>noslogotība</w:t>
            </w:r>
            <w:r w:rsidRPr="00C15715">
              <w:rPr>
                <w:rStyle w:val="FootnoteReference"/>
                <w:rFonts w:cstheme="minorHAnsi"/>
                <w:b/>
                <w:bCs/>
                <w:sz w:val="22"/>
              </w:rPr>
              <w:footnoteReference w:id="28"/>
            </w:r>
          </w:p>
          <w:p w14:paraId="0E1F23F8" w14:textId="77777777" w:rsidR="00293E59" w:rsidRPr="00C15715" w:rsidRDefault="00293E59" w:rsidP="009A7189">
            <w:pPr>
              <w:jc w:val="center"/>
              <w:rPr>
                <w:rFonts w:cstheme="minorHAnsi"/>
                <w:b/>
                <w:bCs/>
                <w:sz w:val="22"/>
              </w:rPr>
            </w:pPr>
            <w:r w:rsidRPr="00C15715">
              <w:rPr>
                <w:rFonts w:cstheme="minorHAnsi"/>
                <w:b/>
                <w:bCs/>
                <w:sz w:val="22"/>
              </w:rPr>
              <w:t>(%)</w:t>
            </w:r>
          </w:p>
        </w:tc>
        <w:tc>
          <w:tcPr>
            <w:tcW w:w="1765" w:type="dxa"/>
            <w:shd w:val="clear" w:color="auto" w:fill="F2F2F2" w:themeFill="background1" w:themeFillShade="F2"/>
          </w:tcPr>
          <w:p w14:paraId="5BB3A02F" w14:textId="77777777" w:rsidR="00293E59" w:rsidRPr="00C15715" w:rsidRDefault="00293E59" w:rsidP="009A7189">
            <w:pPr>
              <w:jc w:val="center"/>
              <w:rPr>
                <w:rFonts w:cstheme="minorHAnsi"/>
                <w:b/>
                <w:bCs/>
                <w:sz w:val="22"/>
              </w:rPr>
            </w:pPr>
            <w:r w:rsidRPr="00C15715">
              <w:rPr>
                <w:rFonts w:cstheme="minorHAnsi"/>
                <w:b/>
                <w:bCs/>
                <w:sz w:val="22"/>
              </w:rPr>
              <w:t>Izmaiņas</w:t>
            </w:r>
          </w:p>
          <w:p w14:paraId="151502AB" w14:textId="77777777" w:rsidR="00293E59" w:rsidRPr="00C15715" w:rsidRDefault="00293E59" w:rsidP="009A7189">
            <w:pPr>
              <w:jc w:val="center"/>
              <w:rPr>
                <w:rFonts w:cstheme="minorHAnsi"/>
                <w:b/>
                <w:bCs/>
                <w:sz w:val="22"/>
              </w:rPr>
            </w:pPr>
            <w:r w:rsidRPr="00C15715">
              <w:rPr>
                <w:rFonts w:cstheme="minorHAnsi"/>
                <w:b/>
                <w:bCs/>
                <w:sz w:val="22"/>
              </w:rPr>
              <w:t>(2017.-2018.)</w:t>
            </w:r>
          </w:p>
          <w:p w14:paraId="62141A8F" w14:textId="77777777" w:rsidR="00293E59" w:rsidRPr="00C15715" w:rsidRDefault="00293E59" w:rsidP="009A7189">
            <w:pPr>
              <w:jc w:val="center"/>
              <w:rPr>
                <w:rFonts w:cstheme="minorHAnsi"/>
                <w:b/>
                <w:bCs/>
                <w:sz w:val="22"/>
              </w:rPr>
            </w:pPr>
            <w:r w:rsidRPr="00C15715">
              <w:rPr>
                <w:rFonts w:cstheme="minorHAnsi"/>
                <w:b/>
                <w:bCs/>
                <w:sz w:val="22"/>
              </w:rPr>
              <w:t>(procentpunkti)</w:t>
            </w:r>
          </w:p>
        </w:tc>
        <w:tc>
          <w:tcPr>
            <w:tcW w:w="1640" w:type="dxa"/>
            <w:shd w:val="clear" w:color="auto" w:fill="F2F2F2" w:themeFill="background1" w:themeFillShade="F2"/>
          </w:tcPr>
          <w:p w14:paraId="384BC1E2" w14:textId="77777777" w:rsidR="00293E59" w:rsidRPr="00C15715" w:rsidRDefault="00293E59" w:rsidP="009A7189">
            <w:pPr>
              <w:jc w:val="center"/>
              <w:rPr>
                <w:rFonts w:cstheme="minorHAnsi"/>
                <w:b/>
                <w:bCs/>
                <w:sz w:val="22"/>
              </w:rPr>
            </w:pPr>
            <w:r w:rsidRPr="00C15715">
              <w:rPr>
                <w:rFonts w:cstheme="minorHAnsi"/>
                <w:b/>
                <w:bCs/>
                <w:sz w:val="22"/>
              </w:rPr>
              <w:t>Zemākā fiksētā mēneša noslogotība (%)</w:t>
            </w:r>
          </w:p>
        </w:tc>
        <w:tc>
          <w:tcPr>
            <w:tcW w:w="1701" w:type="dxa"/>
            <w:shd w:val="clear" w:color="auto" w:fill="F2F2F2" w:themeFill="background1" w:themeFillShade="F2"/>
          </w:tcPr>
          <w:p w14:paraId="4D59BE16" w14:textId="77777777" w:rsidR="00293E59" w:rsidRPr="00C15715" w:rsidRDefault="00293E59" w:rsidP="009A7189">
            <w:pPr>
              <w:jc w:val="center"/>
              <w:rPr>
                <w:rFonts w:cstheme="minorHAnsi"/>
                <w:b/>
                <w:bCs/>
                <w:sz w:val="22"/>
              </w:rPr>
            </w:pPr>
            <w:r w:rsidRPr="00C15715">
              <w:rPr>
                <w:rFonts w:cstheme="minorHAnsi"/>
                <w:b/>
                <w:bCs/>
                <w:sz w:val="22"/>
              </w:rPr>
              <w:t>Augstākā fiksētā mēneša noslogotība (%)</w:t>
            </w:r>
          </w:p>
        </w:tc>
      </w:tr>
      <w:tr w:rsidR="00293E59" w:rsidRPr="00C15715" w14:paraId="0ED7FEA2" w14:textId="77777777" w:rsidTr="00293E59">
        <w:trPr>
          <w:trHeight w:val="56"/>
          <w:jc w:val="center"/>
        </w:trPr>
        <w:tc>
          <w:tcPr>
            <w:tcW w:w="1920" w:type="dxa"/>
            <w:shd w:val="clear" w:color="auto" w:fill="auto"/>
          </w:tcPr>
          <w:p w14:paraId="167D8272" w14:textId="77777777" w:rsidR="00293E59" w:rsidRPr="00C15715" w:rsidRDefault="00293E59" w:rsidP="009A7189">
            <w:pPr>
              <w:rPr>
                <w:rFonts w:cstheme="minorHAnsi"/>
              </w:rPr>
            </w:pPr>
            <w:r w:rsidRPr="00C15715">
              <w:rPr>
                <w:rFonts w:cstheme="minorHAnsi"/>
              </w:rPr>
              <w:t xml:space="preserve"> LV → LT</w:t>
            </w:r>
          </w:p>
        </w:tc>
        <w:tc>
          <w:tcPr>
            <w:tcW w:w="1616" w:type="dxa"/>
            <w:shd w:val="clear" w:color="auto" w:fill="auto"/>
          </w:tcPr>
          <w:p w14:paraId="68021E76" w14:textId="77777777" w:rsidR="00293E59" w:rsidRPr="00C15715" w:rsidRDefault="00293E59" w:rsidP="009A7189">
            <w:pPr>
              <w:jc w:val="center"/>
              <w:rPr>
                <w:rFonts w:cstheme="minorHAnsi"/>
              </w:rPr>
            </w:pPr>
            <w:r w:rsidRPr="00C15715">
              <w:rPr>
                <w:rFonts w:cstheme="minorHAnsi"/>
              </w:rPr>
              <w:t>31</w:t>
            </w:r>
          </w:p>
        </w:tc>
        <w:tc>
          <w:tcPr>
            <w:tcW w:w="1765" w:type="dxa"/>
            <w:shd w:val="clear" w:color="auto" w:fill="auto"/>
          </w:tcPr>
          <w:p w14:paraId="345786E9" w14:textId="77777777" w:rsidR="00293E59" w:rsidRPr="00C15715" w:rsidRDefault="00293E59" w:rsidP="009A7189">
            <w:pPr>
              <w:jc w:val="center"/>
              <w:rPr>
                <w:rFonts w:cstheme="minorHAnsi"/>
              </w:rPr>
            </w:pPr>
            <w:r w:rsidRPr="00C15715">
              <w:rPr>
                <w:rFonts w:cstheme="minorHAnsi"/>
              </w:rPr>
              <w:t>2</w:t>
            </w:r>
          </w:p>
        </w:tc>
        <w:tc>
          <w:tcPr>
            <w:tcW w:w="1640" w:type="dxa"/>
          </w:tcPr>
          <w:p w14:paraId="1CDF5DA8" w14:textId="77777777" w:rsidR="00293E59" w:rsidRPr="00C15715" w:rsidRDefault="00293E59" w:rsidP="009A7189">
            <w:pPr>
              <w:jc w:val="center"/>
              <w:rPr>
                <w:rFonts w:cstheme="minorHAnsi"/>
              </w:rPr>
            </w:pPr>
            <w:r w:rsidRPr="00C15715">
              <w:rPr>
                <w:rFonts w:cstheme="minorHAnsi"/>
              </w:rPr>
              <w:t>12,7</w:t>
            </w:r>
          </w:p>
        </w:tc>
        <w:tc>
          <w:tcPr>
            <w:tcW w:w="1701" w:type="dxa"/>
          </w:tcPr>
          <w:p w14:paraId="4018B4AC" w14:textId="77777777" w:rsidR="00293E59" w:rsidRPr="00C15715" w:rsidRDefault="00293E59" w:rsidP="009A7189">
            <w:pPr>
              <w:jc w:val="center"/>
              <w:rPr>
                <w:rFonts w:cstheme="minorHAnsi"/>
              </w:rPr>
            </w:pPr>
            <w:r w:rsidRPr="00C15715">
              <w:rPr>
                <w:rFonts w:cstheme="minorHAnsi"/>
              </w:rPr>
              <w:t>56,1</w:t>
            </w:r>
          </w:p>
        </w:tc>
      </w:tr>
      <w:tr w:rsidR="00293E59" w:rsidRPr="00C15715" w14:paraId="7B64D89C" w14:textId="77777777" w:rsidTr="00293E59">
        <w:trPr>
          <w:trHeight w:val="56"/>
          <w:jc w:val="center"/>
        </w:trPr>
        <w:tc>
          <w:tcPr>
            <w:tcW w:w="1920" w:type="dxa"/>
            <w:shd w:val="clear" w:color="auto" w:fill="auto"/>
          </w:tcPr>
          <w:p w14:paraId="0F503FA8" w14:textId="77777777" w:rsidR="00293E59" w:rsidRPr="00C15715" w:rsidRDefault="00293E59" w:rsidP="009A7189">
            <w:pPr>
              <w:rPr>
                <w:rFonts w:cstheme="minorHAnsi"/>
              </w:rPr>
            </w:pPr>
            <w:r w:rsidRPr="00C15715">
              <w:rPr>
                <w:rFonts w:cstheme="minorHAnsi"/>
              </w:rPr>
              <w:t xml:space="preserve"> EE → LV</w:t>
            </w:r>
          </w:p>
        </w:tc>
        <w:tc>
          <w:tcPr>
            <w:tcW w:w="1616" w:type="dxa"/>
            <w:shd w:val="clear" w:color="auto" w:fill="auto"/>
          </w:tcPr>
          <w:p w14:paraId="14A6C95B" w14:textId="77777777" w:rsidR="00293E59" w:rsidRPr="00C15715" w:rsidRDefault="00293E59" w:rsidP="009A7189">
            <w:pPr>
              <w:jc w:val="center"/>
              <w:rPr>
                <w:rFonts w:cstheme="minorHAnsi"/>
              </w:rPr>
            </w:pPr>
            <w:r w:rsidRPr="00C15715">
              <w:rPr>
                <w:rFonts w:cstheme="minorHAnsi"/>
              </w:rPr>
              <w:t>54</w:t>
            </w:r>
          </w:p>
        </w:tc>
        <w:tc>
          <w:tcPr>
            <w:tcW w:w="1765" w:type="dxa"/>
            <w:shd w:val="clear" w:color="auto" w:fill="auto"/>
          </w:tcPr>
          <w:p w14:paraId="5D8759CF" w14:textId="77777777" w:rsidR="00293E59" w:rsidRPr="00C15715" w:rsidRDefault="00293E59" w:rsidP="009A7189">
            <w:pPr>
              <w:jc w:val="center"/>
              <w:rPr>
                <w:rFonts w:cstheme="minorHAnsi"/>
              </w:rPr>
            </w:pPr>
            <w:r w:rsidRPr="00C15715">
              <w:rPr>
                <w:rFonts w:cstheme="minorHAnsi"/>
              </w:rPr>
              <w:t>-13</w:t>
            </w:r>
          </w:p>
        </w:tc>
        <w:tc>
          <w:tcPr>
            <w:tcW w:w="1640" w:type="dxa"/>
          </w:tcPr>
          <w:p w14:paraId="2C8D4B6B" w14:textId="77777777" w:rsidR="00293E59" w:rsidRPr="00C15715" w:rsidRDefault="00293E59" w:rsidP="009A7189">
            <w:pPr>
              <w:jc w:val="center"/>
              <w:rPr>
                <w:rFonts w:cstheme="minorHAnsi"/>
              </w:rPr>
            </w:pPr>
            <w:r w:rsidRPr="00C15715">
              <w:rPr>
                <w:rFonts w:cstheme="minorHAnsi"/>
              </w:rPr>
              <w:t>38,5</w:t>
            </w:r>
          </w:p>
        </w:tc>
        <w:tc>
          <w:tcPr>
            <w:tcW w:w="1701" w:type="dxa"/>
          </w:tcPr>
          <w:p w14:paraId="43930CF5" w14:textId="77777777" w:rsidR="00293E59" w:rsidRPr="00C15715" w:rsidRDefault="00293E59" w:rsidP="009A7189">
            <w:pPr>
              <w:jc w:val="center"/>
              <w:rPr>
                <w:rFonts w:cstheme="minorHAnsi"/>
              </w:rPr>
            </w:pPr>
            <w:r w:rsidRPr="00C15715">
              <w:rPr>
                <w:rFonts w:cstheme="minorHAnsi"/>
              </w:rPr>
              <w:t>79,4</w:t>
            </w:r>
          </w:p>
        </w:tc>
      </w:tr>
      <w:tr w:rsidR="00293E59" w:rsidRPr="00C15715" w14:paraId="1575DF82" w14:textId="77777777" w:rsidTr="00293E59">
        <w:trPr>
          <w:trHeight w:val="56"/>
          <w:jc w:val="center"/>
        </w:trPr>
        <w:tc>
          <w:tcPr>
            <w:tcW w:w="1920" w:type="dxa"/>
            <w:shd w:val="clear" w:color="auto" w:fill="auto"/>
          </w:tcPr>
          <w:p w14:paraId="66D6CF0E" w14:textId="77777777" w:rsidR="00293E59" w:rsidRPr="00C15715" w:rsidRDefault="00293E59" w:rsidP="009A7189">
            <w:pPr>
              <w:rPr>
                <w:rFonts w:cstheme="minorHAnsi"/>
              </w:rPr>
            </w:pPr>
            <w:r w:rsidRPr="00C15715">
              <w:rPr>
                <w:rFonts w:cstheme="minorHAnsi"/>
              </w:rPr>
              <w:t xml:space="preserve"> LBI → LT</w:t>
            </w:r>
          </w:p>
        </w:tc>
        <w:tc>
          <w:tcPr>
            <w:tcW w:w="1616" w:type="dxa"/>
            <w:shd w:val="clear" w:color="auto" w:fill="auto"/>
          </w:tcPr>
          <w:p w14:paraId="59D24BFD" w14:textId="77777777" w:rsidR="00293E59" w:rsidRPr="00C15715" w:rsidRDefault="00293E59" w:rsidP="009A7189">
            <w:pPr>
              <w:jc w:val="center"/>
              <w:rPr>
                <w:rFonts w:cstheme="minorHAnsi"/>
              </w:rPr>
            </w:pPr>
            <w:r w:rsidRPr="00C15715">
              <w:rPr>
                <w:rFonts w:cstheme="minorHAnsi"/>
              </w:rPr>
              <w:t>15</w:t>
            </w:r>
          </w:p>
        </w:tc>
        <w:tc>
          <w:tcPr>
            <w:tcW w:w="1765" w:type="dxa"/>
            <w:shd w:val="clear" w:color="auto" w:fill="auto"/>
          </w:tcPr>
          <w:p w14:paraId="73BA0512" w14:textId="77777777" w:rsidR="00293E59" w:rsidRPr="00C15715" w:rsidRDefault="00293E59" w:rsidP="009A7189">
            <w:pPr>
              <w:jc w:val="center"/>
              <w:rPr>
                <w:rFonts w:cstheme="minorHAnsi"/>
              </w:rPr>
            </w:pPr>
            <w:r w:rsidRPr="00C15715">
              <w:rPr>
                <w:rFonts w:cstheme="minorHAnsi"/>
              </w:rPr>
              <w:t>-12</w:t>
            </w:r>
          </w:p>
        </w:tc>
        <w:tc>
          <w:tcPr>
            <w:tcW w:w="1640" w:type="dxa"/>
          </w:tcPr>
          <w:p w14:paraId="42616D6A" w14:textId="77777777" w:rsidR="00293E59" w:rsidRPr="00C15715" w:rsidRDefault="00293E59" w:rsidP="009A7189">
            <w:pPr>
              <w:jc w:val="center"/>
              <w:rPr>
                <w:rFonts w:cstheme="minorHAnsi"/>
              </w:rPr>
            </w:pPr>
            <w:r w:rsidRPr="00C15715">
              <w:rPr>
                <w:rFonts w:cstheme="minorHAnsi"/>
              </w:rPr>
              <w:t>20,1</w:t>
            </w:r>
          </w:p>
        </w:tc>
        <w:tc>
          <w:tcPr>
            <w:tcW w:w="1701" w:type="dxa"/>
          </w:tcPr>
          <w:p w14:paraId="2EAF4850" w14:textId="77777777" w:rsidR="00293E59" w:rsidRPr="00C15715" w:rsidRDefault="00293E59" w:rsidP="009A7189">
            <w:pPr>
              <w:jc w:val="center"/>
              <w:rPr>
                <w:rFonts w:cstheme="minorHAnsi"/>
              </w:rPr>
            </w:pPr>
            <w:r w:rsidRPr="00C15715">
              <w:rPr>
                <w:rFonts w:cstheme="minorHAnsi"/>
              </w:rPr>
              <w:t>92,7</w:t>
            </w:r>
          </w:p>
        </w:tc>
      </w:tr>
      <w:tr w:rsidR="00293E59" w:rsidRPr="00C15715" w14:paraId="343BC82C" w14:textId="77777777" w:rsidTr="00293E59">
        <w:trPr>
          <w:trHeight w:val="56"/>
          <w:jc w:val="center"/>
        </w:trPr>
        <w:tc>
          <w:tcPr>
            <w:tcW w:w="1920" w:type="dxa"/>
            <w:shd w:val="clear" w:color="auto" w:fill="auto"/>
          </w:tcPr>
          <w:p w14:paraId="660C4BC6" w14:textId="77777777" w:rsidR="00293E59" w:rsidRPr="00C15715" w:rsidRDefault="00293E59" w:rsidP="009A7189">
            <w:pPr>
              <w:rPr>
                <w:rFonts w:cstheme="minorHAnsi"/>
              </w:rPr>
            </w:pPr>
            <w:r w:rsidRPr="00C15715">
              <w:rPr>
                <w:rFonts w:cstheme="minorHAnsi"/>
              </w:rPr>
              <w:t>LT → LV</w:t>
            </w:r>
          </w:p>
        </w:tc>
        <w:tc>
          <w:tcPr>
            <w:tcW w:w="1616" w:type="dxa"/>
            <w:shd w:val="clear" w:color="auto" w:fill="auto"/>
          </w:tcPr>
          <w:p w14:paraId="00C3EB10" w14:textId="77777777" w:rsidR="00293E59" w:rsidRPr="00C15715" w:rsidRDefault="00293E59" w:rsidP="009A7189">
            <w:pPr>
              <w:jc w:val="center"/>
              <w:rPr>
                <w:rFonts w:cstheme="minorHAnsi"/>
              </w:rPr>
            </w:pPr>
            <w:r w:rsidRPr="00C15715">
              <w:rPr>
                <w:rFonts w:cstheme="minorHAnsi"/>
              </w:rPr>
              <w:t>2</w:t>
            </w:r>
          </w:p>
        </w:tc>
        <w:tc>
          <w:tcPr>
            <w:tcW w:w="1765" w:type="dxa"/>
            <w:shd w:val="clear" w:color="auto" w:fill="auto"/>
          </w:tcPr>
          <w:p w14:paraId="771D6926" w14:textId="77777777" w:rsidR="00293E59" w:rsidRPr="00C15715" w:rsidRDefault="00293E59" w:rsidP="009A7189">
            <w:pPr>
              <w:jc w:val="center"/>
              <w:rPr>
                <w:rFonts w:cstheme="minorHAnsi"/>
              </w:rPr>
            </w:pPr>
            <w:r w:rsidRPr="00C15715">
              <w:rPr>
                <w:rFonts w:cstheme="minorHAnsi"/>
              </w:rPr>
              <w:t>0</w:t>
            </w:r>
          </w:p>
        </w:tc>
        <w:tc>
          <w:tcPr>
            <w:tcW w:w="1640" w:type="dxa"/>
          </w:tcPr>
          <w:p w14:paraId="3E57DAAE" w14:textId="77777777" w:rsidR="00293E59" w:rsidRPr="00C15715" w:rsidRDefault="00293E59" w:rsidP="009A7189">
            <w:pPr>
              <w:jc w:val="center"/>
              <w:rPr>
                <w:rFonts w:cstheme="minorHAnsi"/>
              </w:rPr>
            </w:pPr>
            <w:r w:rsidRPr="00C15715">
              <w:rPr>
                <w:rFonts w:cstheme="minorHAnsi"/>
              </w:rPr>
              <w:t>1,5</w:t>
            </w:r>
          </w:p>
        </w:tc>
        <w:tc>
          <w:tcPr>
            <w:tcW w:w="1701" w:type="dxa"/>
          </w:tcPr>
          <w:p w14:paraId="4B6D1E9A" w14:textId="77777777" w:rsidR="00293E59" w:rsidRPr="00C15715" w:rsidRDefault="00293E59" w:rsidP="009A7189">
            <w:pPr>
              <w:jc w:val="center"/>
              <w:rPr>
                <w:rFonts w:cstheme="minorHAnsi"/>
              </w:rPr>
            </w:pPr>
            <w:r w:rsidRPr="00C15715">
              <w:rPr>
                <w:rFonts w:cstheme="minorHAnsi"/>
              </w:rPr>
              <w:t>19,9</w:t>
            </w:r>
          </w:p>
        </w:tc>
      </w:tr>
      <w:tr w:rsidR="00293E59" w:rsidRPr="00C15715" w14:paraId="16334F58" w14:textId="77777777" w:rsidTr="00293E59">
        <w:trPr>
          <w:jc w:val="center"/>
        </w:trPr>
        <w:tc>
          <w:tcPr>
            <w:tcW w:w="1920" w:type="dxa"/>
          </w:tcPr>
          <w:p w14:paraId="747B0BBC" w14:textId="77777777" w:rsidR="00293E59" w:rsidRPr="00C15715" w:rsidRDefault="00293E59" w:rsidP="009A7189">
            <w:pPr>
              <w:rPr>
                <w:rFonts w:cstheme="minorHAnsi"/>
              </w:rPr>
            </w:pPr>
            <w:r w:rsidRPr="00C15715">
              <w:rPr>
                <w:rFonts w:cstheme="minorHAnsi"/>
              </w:rPr>
              <w:t>PL → LT</w:t>
            </w:r>
          </w:p>
        </w:tc>
        <w:tc>
          <w:tcPr>
            <w:tcW w:w="1616" w:type="dxa"/>
          </w:tcPr>
          <w:p w14:paraId="2F7E1DA4" w14:textId="77777777" w:rsidR="00293E59" w:rsidRPr="00C15715" w:rsidRDefault="00293E59" w:rsidP="009A7189">
            <w:pPr>
              <w:jc w:val="center"/>
              <w:rPr>
                <w:rFonts w:cstheme="minorHAnsi"/>
              </w:rPr>
            </w:pPr>
            <w:r w:rsidRPr="00C15715">
              <w:rPr>
                <w:rFonts w:cstheme="minorHAnsi"/>
              </w:rPr>
              <w:t>20</w:t>
            </w:r>
          </w:p>
        </w:tc>
        <w:tc>
          <w:tcPr>
            <w:tcW w:w="1765" w:type="dxa"/>
          </w:tcPr>
          <w:p w14:paraId="1443D740" w14:textId="77777777" w:rsidR="00293E59" w:rsidRPr="00C15715" w:rsidRDefault="00293E59" w:rsidP="009A7189">
            <w:pPr>
              <w:jc w:val="center"/>
              <w:rPr>
                <w:rFonts w:cstheme="minorHAnsi"/>
              </w:rPr>
            </w:pPr>
            <w:r w:rsidRPr="00C15715">
              <w:rPr>
                <w:rFonts w:cstheme="minorHAnsi"/>
              </w:rPr>
              <w:t>-12</w:t>
            </w:r>
          </w:p>
        </w:tc>
        <w:tc>
          <w:tcPr>
            <w:tcW w:w="1640" w:type="dxa"/>
          </w:tcPr>
          <w:p w14:paraId="09A56E59" w14:textId="77777777" w:rsidR="00293E59" w:rsidRPr="00C15715" w:rsidRDefault="00293E59" w:rsidP="009A7189">
            <w:pPr>
              <w:jc w:val="center"/>
              <w:rPr>
                <w:rFonts w:cstheme="minorHAnsi"/>
              </w:rPr>
            </w:pPr>
            <w:r w:rsidRPr="00C15715">
              <w:rPr>
                <w:rFonts w:cstheme="minorHAnsi"/>
              </w:rPr>
              <w:t>13,2</w:t>
            </w:r>
          </w:p>
        </w:tc>
        <w:tc>
          <w:tcPr>
            <w:tcW w:w="1701" w:type="dxa"/>
          </w:tcPr>
          <w:p w14:paraId="2A86F35F" w14:textId="77777777" w:rsidR="00293E59" w:rsidRPr="00C15715" w:rsidRDefault="00293E59" w:rsidP="009A7189">
            <w:pPr>
              <w:jc w:val="center"/>
              <w:rPr>
                <w:rFonts w:cstheme="minorHAnsi"/>
              </w:rPr>
            </w:pPr>
            <w:r w:rsidRPr="00C15715">
              <w:rPr>
                <w:rFonts w:cstheme="minorHAnsi"/>
              </w:rPr>
              <w:t>70,5</w:t>
            </w:r>
          </w:p>
        </w:tc>
      </w:tr>
      <w:tr w:rsidR="00293E59" w:rsidRPr="00C15715" w14:paraId="6249E926" w14:textId="77777777" w:rsidTr="00293E59">
        <w:trPr>
          <w:jc w:val="center"/>
        </w:trPr>
        <w:tc>
          <w:tcPr>
            <w:tcW w:w="1920" w:type="dxa"/>
          </w:tcPr>
          <w:p w14:paraId="49778F8D" w14:textId="77777777" w:rsidR="00293E59" w:rsidRPr="00C15715" w:rsidRDefault="00293E59" w:rsidP="009A7189">
            <w:pPr>
              <w:rPr>
                <w:rFonts w:cstheme="minorHAnsi"/>
              </w:rPr>
            </w:pPr>
            <w:r w:rsidRPr="00C15715">
              <w:rPr>
                <w:rFonts w:cstheme="minorHAnsi"/>
              </w:rPr>
              <w:t>LT → PL</w:t>
            </w:r>
          </w:p>
        </w:tc>
        <w:tc>
          <w:tcPr>
            <w:tcW w:w="1616" w:type="dxa"/>
          </w:tcPr>
          <w:p w14:paraId="0ACAF0FD" w14:textId="77777777" w:rsidR="00293E59" w:rsidRPr="00C15715" w:rsidRDefault="00293E59" w:rsidP="009A7189">
            <w:pPr>
              <w:jc w:val="center"/>
              <w:rPr>
                <w:rFonts w:cstheme="minorHAnsi"/>
              </w:rPr>
            </w:pPr>
            <w:r w:rsidRPr="00C15715">
              <w:rPr>
                <w:rFonts w:cstheme="minorHAnsi"/>
              </w:rPr>
              <w:t>48</w:t>
            </w:r>
          </w:p>
        </w:tc>
        <w:tc>
          <w:tcPr>
            <w:tcW w:w="1765" w:type="dxa"/>
          </w:tcPr>
          <w:p w14:paraId="268BC871" w14:textId="77777777" w:rsidR="00293E59" w:rsidRPr="00C15715" w:rsidRDefault="00293E59" w:rsidP="009A7189">
            <w:pPr>
              <w:jc w:val="center"/>
              <w:rPr>
                <w:rFonts w:cstheme="minorHAnsi"/>
              </w:rPr>
            </w:pPr>
            <w:r w:rsidRPr="00C15715">
              <w:rPr>
                <w:rFonts w:cstheme="minorHAnsi"/>
              </w:rPr>
              <w:t>9</w:t>
            </w:r>
          </w:p>
        </w:tc>
        <w:tc>
          <w:tcPr>
            <w:tcW w:w="1640" w:type="dxa"/>
          </w:tcPr>
          <w:p w14:paraId="5B95692C" w14:textId="77777777" w:rsidR="00293E59" w:rsidRPr="00C15715" w:rsidRDefault="00293E59" w:rsidP="009A7189">
            <w:pPr>
              <w:jc w:val="center"/>
              <w:rPr>
                <w:rFonts w:cstheme="minorHAnsi"/>
              </w:rPr>
            </w:pPr>
            <w:r w:rsidRPr="00C15715">
              <w:rPr>
                <w:rFonts w:cstheme="minorHAnsi"/>
              </w:rPr>
              <w:t>10,3</w:t>
            </w:r>
          </w:p>
        </w:tc>
        <w:tc>
          <w:tcPr>
            <w:tcW w:w="1701" w:type="dxa"/>
          </w:tcPr>
          <w:p w14:paraId="0DF099D3" w14:textId="77777777" w:rsidR="00293E59" w:rsidRPr="00C15715" w:rsidRDefault="00293E59" w:rsidP="009A7189">
            <w:pPr>
              <w:jc w:val="center"/>
              <w:rPr>
                <w:rFonts w:cstheme="minorHAnsi"/>
              </w:rPr>
            </w:pPr>
            <w:r w:rsidRPr="00C15715">
              <w:rPr>
                <w:rFonts w:cstheme="minorHAnsi"/>
              </w:rPr>
              <w:t>57,7</w:t>
            </w:r>
          </w:p>
        </w:tc>
      </w:tr>
      <w:tr w:rsidR="00293E59" w:rsidRPr="00C15715" w14:paraId="2C2AAEA4" w14:textId="77777777" w:rsidTr="00293E59">
        <w:trPr>
          <w:jc w:val="center"/>
        </w:trPr>
        <w:tc>
          <w:tcPr>
            <w:tcW w:w="1920" w:type="dxa"/>
          </w:tcPr>
          <w:p w14:paraId="48824B2B" w14:textId="77777777" w:rsidR="00293E59" w:rsidRPr="00C15715" w:rsidRDefault="00293E59" w:rsidP="009A7189">
            <w:pPr>
              <w:rPr>
                <w:rFonts w:cstheme="minorHAnsi"/>
              </w:rPr>
            </w:pPr>
            <w:r w:rsidRPr="00C15715">
              <w:rPr>
                <w:rFonts w:cstheme="minorHAnsi"/>
              </w:rPr>
              <w:t>SE → LT</w:t>
            </w:r>
          </w:p>
        </w:tc>
        <w:tc>
          <w:tcPr>
            <w:tcW w:w="1616" w:type="dxa"/>
          </w:tcPr>
          <w:p w14:paraId="498A8DD5" w14:textId="77777777" w:rsidR="00293E59" w:rsidRPr="00C15715" w:rsidRDefault="00293E59" w:rsidP="009A7189">
            <w:pPr>
              <w:jc w:val="center"/>
              <w:rPr>
                <w:rFonts w:cstheme="minorHAnsi"/>
              </w:rPr>
            </w:pPr>
            <w:r w:rsidRPr="00C15715">
              <w:rPr>
                <w:rFonts w:cstheme="minorHAnsi"/>
              </w:rPr>
              <w:t>63</w:t>
            </w:r>
          </w:p>
        </w:tc>
        <w:tc>
          <w:tcPr>
            <w:tcW w:w="1765" w:type="dxa"/>
          </w:tcPr>
          <w:p w14:paraId="636FFCB8" w14:textId="77777777" w:rsidR="00293E59" w:rsidRPr="00C15715" w:rsidRDefault="00293E59" w:rsidP="009A7189">
            <w:pPr>
              <w:jc w:val="center"/>
              <w:rPr>
                <w:rFonts w:cstheme="minorHAnsi"/>
              </w:rPr>
            </w:pPr>
            <w:r w:rsidRPr="00C15715">
              <w:rPr>
                <w:rFonts w:cstheme="minorHAnsi"/>
              </w:rPr>
              <w:t>-9</w:t>
            </w:r>
          </w:p>
        </w:tc>
        <w:tc>
          <w:tcPr>
            <w:tcW w:w="1640" w:type="dxa"/>
          </w:tcPr>
          <w:p w14:paraId="5A3EFE9A" w14:textId="77777777" w:rsidR="00293E59" w:rsidRPr="00C15715" w:rsidRDefault="00293E59" w:rsidP="009A7189">
            <w:pPr>
              <w:jc w:val="center"/>
              <w:rPr>
                <w:rFonts w:cstheme="minorHAnsi"/>
              </w:rPr>
            </w:pPr>
            <w:r w:rsidRPr="00C15715">
              <w:rPr>
                <w:rFonts w:cstheme="minorHAnsi"/>
              </w:rPr>
              <w:t>0,0</w:t>
            </w:r>
          </w:p>
        </w:tc>
        <w:tc>
          <w:tcPr>
            <w:tcW w:w="1701" w:type="dxa"/>
          </w:tcPr>
          <w:p w14:paraId="3DBA3908" w14:textId="77777777" w:rsidR="00293E59" w:rsidRPr="00C15715" w:rsidRDefault="00293E59" w:rsidP="009A7189">
            <w:pPr>
              <w:jc w:val="center"/>
              <w:rPr>
                <w:rFonts w:cstheme="minorHAnsi"/>
              </w:rPr>
            </w:pPr>
            <w:r w:rsidRPr="00C15715">
              <w:rPr>
                <w:rFonts w:cstheme="minorHAnsi"/>
              </w:rPr>
              <w:t>91,5</w:t>
            </w:r>
          </w:p>
        </w:tc>
      </w:tr>
      <w:tr w:rsidR="00293E59" w:rsidRPr="00C15715" w14:paraId="02991CAA" w14:textId="77777777" w:rsidTr="00293E59">
        <w:trPr>
          <w:jc w:val="center"/>
        </w:trPr>
        <w:tc>
          <w:tcPr>
            <w:tcW w:w="1920" w:type="dxa"/>
          </w:tcPr>
          <w:p w14:paraId="7C7A8F09" w14:textId="77777777" w:rsidR="00293E59" w:rsidRPr="00C15715" w:rsidRDefault="00293E59" w:rsidP="009A7189">
            <w:pPr>
              <w:rPr>
                <w:rFonts w:cstheme="minorHAnsi"/>
              </w:rPr>
            </w:pPr>
            <w:r w:rsidRPr="00C15715">
              <w:rPr>
                <w:rFonts w:cstheme="minorHAnsi"/>
              </w:rPr>
              <w:t>FI → EE</w:t>
            </w:r>
          </w:p>
        </w:tc>
        <w:tc>
          <w:tcPr>
            <w:tcW w:w="1616" w:type="dxa"/>
          </w:tcPr>
          <w:p w14:paraId="04CE34B9" w14:textId="77777777" w:rsidR="00293E59" w:rsidRPr="00C15715" w:rsidRDefault="00293E59" w:rsidP="009A7189">
            <w:pPr>
              <w:jc w:val="center"/>
              <w:rPr>
                <w:rFonts w:cstheme="minorHAnsi"/>
              </w:rPr>
            </w:pPr>
            <w:r w:rsidRPr="00C15715">
              <w:rPr>
                <w:rFonts w:cstheme="minorHAnsi"/>
              </w:rPr>
              <w:t>18</w:t>
            </w:r>
          </w:p>
        </w:tc>
        <w:tc>
          <w:tcPr>
            <w:tcW w:w="1765" w:type="dxa"/>
          </w:tcPr>
          <w:p w14:paraId="75C958C6" w14:textId="77777777" w:rsidR="00293E59" w:rsidRPr="00C15715" w:rsidRDefault="00293E59" w:rsidP="009A7189">
            <w:pPr>
              <w:jc w:val="center"/>
              <w:rPr>
                <w:rFonts w:cstheme="minorHAnsi"/>
              </w:rPr>
            </w:pPr>
            <w:r w:rsidRPr="00C15715">
              <w:rPr>
                <w:rFonts w:cstheme="minorHAnsi"/>
              </w:rPr>
              <w:t>-19</w:t>
            </w:r>
          </w:p>
        </w:tc>
        <w:tc>
          <w:tcPr>
            <w:tcW w:w="1640" w:type="dxa"/>
          </w:tcPr>
          <w:p w14:paraId="485F8D47" w14:textId="77777777" w:rsidR="00293E59" w:rsidRPr="00C15715" w:rsidRDefault="00293E59" w:rsidP="009A7189">
            <w:pPr>
              <w:jc w:val="center"/>
              <w:rPr>
                <w:rFonts w:cstheme="minorHAnsi"/>
              </w:rPr>
            </w:pPr>
            <w:r w:rsidRPr="00C15715">
              <w:rPr>
                <w:rFonts w:cstheme="minorHAnsi"/>
              </w:rPr>
              <w:t>6,5</w:t>
            </w:r>
          </w:p>
        </w:tc>
        <w:tc>
          <w:tcPr>
            <w:tcW w:w="1701" w:type="dxa"/>
          </w:tcPr>
          <w:p w14:paraId="14BBC59F" w14:textId="77777777" w:rsidR="00293E59" w:rsidRPr="00C15715" w:rsidRDefault="00293E59" w:rsidP="009A7189">
            <w:pPr>
              <w:jc w:val="center"/>
              <w:rPr>
                <w:rFonts w:cstheme="minorHAnsi"/>
              </w:rPr>
            </w:pPr>
            <w:r w:rsidRPr="00C15715">
              <w:rPr>
                <w:rFonts w:cstheme="minorHAnsi"/>
              </w:rPr>
              <w:t>47,8</w:t>
            </w:r>
          </w:p>
        </w:tc>
      </w:tr>
    </w:tbl>
    <w:p w14:paraId="46ED4634" w14:textId="77777777" w:rsidR="00404F51" w:rsidRPr="00C15715" w:rsidRDefault="00404F51" w:rsidP="00404F51">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Imports no trešajām valstīm uz Baltiju var notikt vienīgi caur Nord </w:t>
      </w:r>
      <w:proofErr w:type="spellStart"/>
      <w:r w:rsidRPr="00C15715">
        <w:rPr>
          <w:rFonts w:asciiTheme="minorHAnsi" w:hAnsiTheme="minorHAnsi" w:cstheme="minorHAnsi"/>
        </w:rPr>
        <w:t>Pool</w:t>
      </w:r>
      <w:bookmarkStart w:id="10" w:name="_ftnref7"/>
      <w:proofErr w:type="spellEnd"/>
      <w:r w:rsidRPr="00C15715">
        <w:rPr>
          <w:rFonts w:asciiTheme="minorHAnsi" w:hAnsiTheme="minorHAnsi" w:cstheme="minorHAnsi"/>
        </w:rPr>
        <w:footnoteReference w:id="29"/>
      </w:r>
      <w:bookmarkEnd w:id="10"/>
      <w:r w:rsidRPr="00C15715">
        <w:rPr>
          <w:rFonts w:asciiTheme="minorHAnsi" w:hAnsiTheme="minorHAnsi" w:cstheme="minorHAnsi"/>
        </w:rPr>
        <w:t xml:space="preserve"> (NP) Lietuvas tirdzniecības apgabalu – LBI. Importētās elektroenerģijas apjoms, kas tika importēts no trešajām valstīm 2018. gadā bija 2 558 187 </w:t>
      </w:r>
      <w:proofErr w:type="spellStart"/>
      <w:r w:rsidRPr="00C15715">
        <w:rPr>
          <w:rFonts w:asciiTheme="minorHAnsi" w:hAnsiTheme="minorHAnsi" w:cstheme="minorHAnsi"/>
        </w:rPr>
        <w:t>MWh</w:t>
      </w:r>
      <w:proofErr w:type="spellEnd"/>
      <w:r w:rsidRPr="00C15715">
        <w:rPr>
          <w:rFonts w:asciiTheme="minorHAnsi" w:hAnsiTheme="minorHAnsi" w:cstheme="minorHAnsi"/>
        </w:rPr>
        <w:t xml:space="preserve">, kas ir par 229% vairāk salīdzinājumā ar 2017. gadu, kad tas bija 776 395 </w:t>
      </w:r>
      <w:proofErr w:type="spellStart"/>
      <w:r w:rsidRPr="00C15715">
        <w:rPr>
          <w:rFonts w:asciiTheme="minorHAnsi" w:hAnsiTheme="minorHAnsi" w:cstheme="minorHAnsi"/>
        </w:rPr>
        <w:t>MWh</w:t>
      </w:r>
      <w:proofErr w:type="spellEnd"/>
      <w:r w:rsidRPr="00C15715">
        <w:rPr>
          <w:rFonts w:asciiTheme="minorHAnsi" w:hAnsiTheme="minorHAnsi" w:cstheme="minorHAnsi"/>
        </w:rPr>
        <w:t xml:space="preserve">. Saskaņā ar Nord </w:t>
      </w:r>
      <w:proofErr w:type="spellStart"/>
      <w:r w:rsidRPr="00C15715">
        <w:rPr>
          <w:rFonts w:asciiTheme="minorHAnsi" w:hAnsiTheme="minorHAnsi" w:cstheme="minorHAnsi"/>
        </w:rPr>
        <w:t>Pool</w:t>
      </w:r>
      <w:proofErr w:type="spellEnd"/>
      <w:r w:rsidRPr="00C15715">
        <w:rPr>
          <w:rFonts w:asciiTheme="minorHAnsi" w:hAnsiTheme="minorHAnsi" w:cstheme="minorHAnsi"/>
        </w:rPr>
        <w:t xml:space="preserve"> informāciju, Zviedrija caur </w:t>
      </w:r>
      <w:proofErr w:type="spellStart"/>
      <w:r w:rsidRPr="00C15715">
        <w:rPr>
          <w:rFonts w:asciiTheme="minorHAnsi" w:hAnsiTheme="minorHAnsi" w:cstheme="minorHAnsi"/>
        </w:rPr>
        <w:t>NordBalt</w:t>
      </w:r>
      <w:proofErr w:type="spellEnd"/>
      <w:r w:rsidRPr="00C15715">
        <w:rPr>
          <w:rFonts w:asciiTheme="minorHAnsi" w:hAnsiTheme="minorHAnsi" w:cstheme="minorHAnsi"/>
        </w:rPr>
        <w:t xml:space="preserve"> kabeli 2018. gadā eksportējusi uz Lietuvu bija 2 930 002 </w:t>
      </w:r>
      <w:proofErr w:type="spellStart"/>
      <w:r w:rsidRPr="00C15715">
        <w:rPr>
          <w:rFonts w:asciiTheme="minorHAnsi" w:hAnsiTheme="minorHAnsi" w:cstheme="minorHAnsi"/>
        </w:rPr>
        <w:t>MWh</w:t>
      </w:r>
      <w:proofErr w:type="spellEnd"/>
      <w:r w:rsidRPr="00C15715">
        <w:rPr>
          <w:rFonts w:asciiTheme="minorHAnsi" w:hAnsiTheme="minorHAnsi" w:cstheme="minorHAnsi"/>
        </w:rPr>
        <w:t xml:space="preserve">, bet Polija caur </w:t>
      </w:r>
      <w:proofErr w:type="spellStart"/>
      <w:r w:rsidRPr="00C15715">
        <w:rPr>
          <w:rFonts w:asciiTheme="minorHAnsi" w:hAnsiTheme="minorHAnsi" w:cstheme="minorHAnsi"/>
        </w:rPr>
        <w:t>LitPol</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Link</w:t>
      </w:r>
      <w:proofErr w:type="spellEnd"/>
      <w:r w:rsidRPr="00C15715">
        <w:rPr>
          <w:rFonts w:asciiTheme="minorHAnsi" w:hAnsiTheme="minorHAnsi" w:cstheme="minorHAnsi"/>
        </w:rPr>
        <w:t xml:space="preserve"> – 721 839 </w:t>
      </w:r>
      <w:proofErr w:type="spellStart"/>
      <w:r w:rsidRPr="00C15715">
        <w:rPr>
          <w:rFonts w:asciiTheme="minorHAnsi" w:hAnsiTheme="minorHAnsi" w:cstheme="minorHAnsi"/>
        </w:rPr>
        <w:t>MWh</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NordBalt</w:t>
      </w:r>
      <w:proofErr w:type="spellEnd"/>
      <w:r w:rsidRPr="00C15715">
        <w:rPr>
          <w:rFonts w:asciiTheme="minorHAnsi" w:hAnsiTheme="minorHAnsi" w:cstheme="minorHAnsi"/>
        </w:rPr>
        <w:t xml:space="preserve"> kabeļa vidējā noslodze bija 60%, kas, salīdzinājumā ar 2017. gadu, samazinājās par 3 procentpunktiem. </w:t>
      </w:r>
      <w:proofErr w:type="spellStart"/>
      <w:r w:rsidRPr="00C15715">
        <w:rPr>
          <w:rFonts w:asciiTheme="minorHAnsi" w:hAnsiTheme="minorHAnsi" w:cstheme="minorHAnsi"/>
        </w:rPr>
        <w:t>LitPol</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Link</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noslogotība virzienā no Polijas uz Lietuvu bija 29%, kur salīdzinājumā ar iepriekšējo gadu, ir pieaugums par 7 procentpunktiem, savukārt virzienā no Lietuvas uz Poliju noslogotība bija 39%, kas, salīdzinot ar iepriekšējo gadu, ir samazinājums par 8 procentpunktiem.</w:t>
      </w:r>
    </w:p>
    <w:p w14:paraId="17AB0553" w14:textId="77777777" w:rsidR="00404F51" w:rsidRPr="00C15715" w:rsidRDefault="00404F51" w:rsidP="00404F51">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2018. gadā Igaunijas – Latvijas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vidējā noslogotība bija 56%, kas, salīdzinājumā ar iepriekšējo gadu ir samazinājusies par 2 procentpunktiem. Igaunijas – Latvijas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augstākā fiksētā mēneša noslogotība bija 79,4% (septembris), bet laikā, kad Latvijā ir pietiekama vietējā ģenerācija un mazāks nepieciešamās elektroenerģijas importa apjoms no Igaunijas,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noslogojums bija nokrities vidēji līdz 38,5% (decembrī) no pieejamās neto pārvades jaudas. Neto pārvades jauda 2018. gadā bija 6 689 093 </w:t>
      </w:r>
      <w:proofErr w:type="spellStart"/>
      <w:r w:rsidRPr="00C15715">
        <w:rPr>
          <w:rFonts w:asciiTheme="minorHAnsi" w:hAnsiTheme="minorHAnsi" w:cstheme="minorHAnsi"/>
        </w:rPr>
        <w:t>MWh</w:t>
      </w:r>
      <w:proofErr w:type="spellEnd"/>
      <w:r w:rsidRPr="00C15715">
        <w:rPr>
          <w:rFonts w:asciiTheme="minorHAnsi" w:hAnsiTheme="minorHAnsi" w:cstheme="minorHAnsi"/>
        </w:rPr>
        <w:t>.</w:t>
      </w:r>
    </w:p>
    <w:p w14:paraId="16F7EFC3" w14:textId="77777777" w:rsidR="00D87276" w:rsidRPr="00C15715" w:rsidRDefault="00D87276" w:rsidP="00D87276">
      <w:pPr>
        <w:spacing w:before="120" w:after="120" w:line="240" w:lineRule="auto"/>
        <w:jc w:val="both"/>
        <w:rPr>
          <w:rFonts w:cstheme="minorHAnsi"/>
        </w:rPr>
      </w:pPr>
      <w:r w:rsidRPr="00C15715">
        <w:rPr>
          <w:rFonts w:eastAsia="Times New Roman" w:cstheme="minorHAnsi"/>
          <w:szCs w:val="24"/>
          <w:lang w:eastAsia="lv-LV"/>
        </w:rPr>
        <w:t>Latvijas dabasgāzes pārvades sistēma ir savienota ar triju kaimiņvalstu – Igaunijas, Krievijas un Lietuvas – dabasgāzes sistēmām, no kurām savienojums ar Igauniju ļauj tehniski nodrošināt dabasgāzes plūsmas virzienā no Latvijas uz Igauniju, bet savienojumi ar Lietuvu un Krieviju – plūsmas abos virzienos. 2018.gada augustā pārvades savienojuma tehniskā jauda ar Krieviju virzienā uz Latviju sasniedza 178</w:t>
      </w:r>
      <w:r w:rsidR="00105BE3" w:rsidRPr="00C15715">
        <w:rPr>
          <w:rFonts w:eastAsia="Times New Roman" w:cstheme="minorHAnsi"/>
          <w:szCs w:val="24"/>
          <w:lang w:eastAsia="lv-LV"/>
        </w:rPr>
        <w:t>,</w:t>
      </w:r>
      <w:r w:rsidRPr="00C15715">
        <w:rPr>
          <w:rFonts w:eastAsia="Times New Roman" w:cstheme="minorHAnsi"/>
          <w:szCs w:val="24"/>
          <w:lang w:eastAsia="lv-LV"/>
        </w:rPr>
        <w:t xml:space="preserve">5 </w:t>
      </w:r>
      <w:proofErr w:type="spellStart"/>
      <w:r w:rsidR="00105BE3" w:rsidRPr="00C15715">
        <w:rPr>
          <w:rFonts w:eastAsia="Times New Roman" w:cstheme="minorHAnsi"/>
          <w:szCs w:val="24"/>
          <w:lang w:eastAsia="lv-LV"/>
        </w:rPr>
        <w:t>G</w:t>
      </w:r>
      <w:r w:rsidRPr="00C15715">
        <w:rPr>
          <w:rFonts w:eastAsia="Times New Roman" w:cstheme="minorHAnsi"/>
          <w:szCs w:val="24"/>
          <w:lang w:eastAsia="lv-LV"/>
        </w:rPr>
        <w:t>Wh</w:t>
      </w:r>
      <w:proofErr w:type="spellEnd"/>
      <w:r w:rsidRPr="00C15715">
        <w:rPr>
          <w:rFonts w:eastAsia="Times New Roman" w:cstheme="minorHAnsi"/>
          <w:szCs w:val="24"/>
          <w:lang w:eastAsia="lv-LV"/>
        </w:rPr>
        <w:t xml:space="preserve"> diennaktī, bet apkures sezonai prognozējamā jauda plūsmai virzienā no Latvijas uz Krieviju </w:t>
      </w:r>
      <w:r w:rsidR="00105BE3" w:rsidRPr="00C15715">
        <w:rPr>
          <w:rFonts w:eastAsia="Times New Roman" w:cstheme="minorHAnsi"/>
          <w:szCs w:val="24"/>
          <w:lang w:eastAsia="lv-LV"/>
        </w:rPr>
        <w:t>–</w:t>
      </w:r>
      <w:r w:rsidRPr="00C15715">
        <w:rPr>
          <w:rFonts w:eastAsia="Times New Roman" w:cstheme="minorHAnsi"/>
          <w:szCs w:val="24"/>
          <w:lang w:eastAsia="lv-LV"/>
        </w:rPr>
        <w:t xml:space="preserve"> 105 </w:t>
      </w:r>
      <w:proofErr w:type="spellStart"/>
      <w:r w:rsidR="00105BE3" w:rsidRPr="00C15715">
        <w:rPr>
          <w:rFonts w:eastAsia="Times New Roman" w:cstheme="minorHAnsi"/>
          <w:szCs w:val="24"/>
          <w:lang w:eastAsia="lv-LV"/>
        </w:rPr>
        <w:t>G</w:t>
      </w:r>
      <w:r w:rsidRPr="00C15715">
        <w:rPr>
          <w:rFonts w:eastAsia="Times New Roman" w:cstheme="minorHAnsi"/>
          <w:szCs w:val="24"/>
          <w:lang w:eastAsia="lv-LV"/>
        </w:rPr>
        <w:t>Wh</w:t>
      </w:r>
      <w:proofErr w:type="spellEnd"/>
      <w:r w:rsidRPr="00C15715">
        <w:rPr>
          <w:rFonts w:eastAsia="Times New Roman" w:cstheme="minorHAnsi"/>
          <w:szCs w:val="24"/>
          <w:lang w:eastAsia="lv-LV"/>
        </w:rPr>
        <w:t xml:space="preserve"> diennaktī. Savienojuma ar Igauniju tehniskā jauda virzienā uz Igauniju sasniedza 73</w:t>
      </w:r>
      <w:r w:rsidR="00105BE3" w:rsidRPr="00C15715">
        <w:rPr>
          <w:rFonts w:eastAsia="Times New Roman" w:cstheme="minorHAnsi"/>
          <w:szCs w:val="24"/>
          <w:lang w:eastAsia="lv-LV"/>
        </w:rPr>
        <w:t>,</w:t>
      </w:r>
      <w:r w:rsidRPr="00C15715">
        <w:rPr>
          <w:rFonts w:eastAsia="Times New Roman" w:cstheme="minorHAnsi"/>
          <w:szCs w:val="24"/>
          <w:lang w:eastAsia="lv-LV"/>
        </w:rPr>
        <w:t xml:space="preserve">08 </w:t>
      </w:r>
      <w:proofErr w:type="spellStart"/>
      <w:r w:rsidR="00105BE3" w:rsidRPr="00C15715">
        <w:rPr>
          <w:rFonts w:eastAsia="Times New Roman" w:cstheme="minorHAnsi"/>
          <w:szCs w:val="24"/>
          <w:lang w:eastAsia="lv-LV"/>
        </w:rPr>
        <w:t>G</w:t>
      </w:r>
      <w:r w:rsidRPr="00C15715">
        <w:rPr>
          <w:rFonts w:eastAsia="Times New Roman" w:cstheme="minorHAnsi"/>
          <w:szCs w:val="24"/>
          <w:lang w:eastAsia="lv-LV"/>
        </w:rPr>
        <w:t>Wh</w:t>
      </w:r>
      <w:proofErr w:type="spellEnd"/>
      <w:r w:rsidRPr="00C15715">
        <w:rPr>
          <w:rFonts w:eastAsia="Times New Roman" w:cstheme="minorHAnsi"/>
          <w:szCs w:val="24"/>
          <w:lang w:eastAsia="lv-LV"/>
        </w:rPr>
        <w:t xml:space="preserve"> diennaktī, savukārt savienojuma ar Lietuvu tehniskā jauda virzienā uz Latviju un virzienā uz Lietuvu – attiecīgi 67</w:t>
      </w:r>
      <w:r w:rsidR="00105BE3" w:rsidRPr="00C15715">
        <w:rPr>
          <w:rFonts w:eastAsia="Times New Roman" w:cstheme="minorHAnsi"/>
          <w:szCs w:val="24"/>
          <w:lang w:eastAsia="lv-LV"/>
        </w:rPr>
        <w:t>,</w:t>
      </w:r>
      <w:r w:rsidRPr="00C15715">
        <w:rPr>
          <w:rFonts w:eastAsia="Times New Roman" w:cstheme="minorHAnsi"/>
          <w:szCs w:val="24"/>
          <w:lang w:eastAsia="lv-LV"/>
        </w:rPr>
        <w:t xml:space="preserve">6 </w:t>
      </w:r>
      <w:proofErr w:type="spellStart"/>
      <w:r w:rsidR="00105BE3" w:rsidRPr="00C15715">
        <w:rPr>
          <w:rFonts w:eastAsia="Times New Roman" w:cstheme="minorHAnsi"/>
          <w:szCs w:val="24"/>
          <w:lang w:eastAsia="lv-LV"/>
        </w:rPr>
        <w:t>G</w:t>
      </w:r>
      <w:r w:rsidRPr="00C15715">
        <w:rPr>
          <w:rFonts w:eastAsia="Times New Roman" w:cstheme="minorHAnsi"/>
          <w:szCs w:val="24"/>
          <w:lang w:eastAsia="lv-LV"/>
        </w:rPr>
        <w:t>Wh</w:t>
      </w:r>
      <w:proofErr w:type="spellEnd"/>
      <w:r w:rsidRPr="00C15715">
        <w:rPr>
          <w:rFonts w:eastAsia="Times New Roman" w:cstheme="minorHAnsi"/>
          <w:szCs w:val="24"/>
          <w:lang w:eastAsia="lv-LV"/>
        </w:rPr>
        <w:t xml:space="preserve"> un 65</w:t>
      </w:r>
      <w:r w:rsidR="00105BE3" w:rsidRPr="00C15715">
        <w:rPr>
          <w:rFonts w:eastAsia="Times New Roman" w:cstheme="minorHAnsi"/>
          <w:szCs w:val="24"/>
          <w:lang w:eastAsia="lv-LV"/>
        </w:rPr>
        <w:t>,</w:t>
      </w:r>
      <w:r w:rsidRPr="00C15715">
        <w:rPr>
          <w:rFonts w:eastAsia="Times New Roman" w:cstheme="minorHAnsi"/>
          <w:szCs w:val="24"/>
          <w:lang w:eastAsia="lv-LV"/>
        </w:rPr>
        <w:t xml:space="preserve">1 </w:t>
      </w:r>
      <w:proofErr w:type="spellStart"/>
      <w:r w:rsidR="00105BE3" w:rsidRPr="00C15715">
        <w:rPr>
          <w:rFonts w:eastAsia="Times New Roman" w:cstheme="minorHAnsi"/>
          <w:szCs w:val="24"/>
          <w:lang w:eastAsia="lv-LV"/>
        </w:rPr>
        <w:t>G</w:t>
      </w:r>
      <w:r w:rsidRPr="00C15715">
        <w:rPr>
          <w:rFonts w:eastAsia="Times New Roman" w:cstheme="minorHAnsi"/>
          <w:szCs w:val="24"/>
          <w:lang w:eastAsia="lv-LV"/>
        </w:rPr>
        <w:t>Wh</w:t>
      </w:r>
      <w:proofErr w:type="spellEnd"/>
      <w:r w:rsidRPr="00C15715">
        <w:rPr>
          <w:rFonts w:eastAsia="Times New Roman" w:cstheme="minorHAnsi"/>
          <w:szCs w:val="24"/>
          <w:lang w:eastAsia="lv-LV"/>
        </w:rPr>
        <w:t xml:space="preserve">. Gada griezumā visu dabasgāzes </w:t>
      </w:r>
      <w:proofErr w:type="spellStart"/>
      <w:r w:rsidRPr="00C15715">
        <w:rPr>
          <w:rFonts w:eastAsia="Times New Roman" w:cstheme="minorHAnsi"/>
          <w:szCs w:val="24"/>
          <w:lang w:eastAsia="lv-LV"/>
        </w:rPr>
        <w:t>starpsavienojumu</w:t>
      </w:r>
      <w:proofErr w:type="spellEnd"/>
      <w:r w:rsidRPr="00C15715">
        <w:rPr>
          <w:rFonts w:eastAsia="Times New Roman" w:cstheme="minorHAnsi"/>
          <w:szCs w:val="24"/>
          <w:lang w:eastAsia="lv-LV"/>
        </w:rPr>
        <w:t xml:space="preserve"> noslodze ir zema un visos </w:t>
      </w:r>
      <w:proofErr w:type="spellStart"/>
      <w:r w:rsidRPr="00C15715">
        <w:rPr>
          <w:rFonts w:eastAsia="Times New Roman" w:cstheme="minorHAnsi"/>
          <w:szCs w:val="24"/>
          <w:lang w:eastAsia="lv-LV"/>
        </w:rPr>
        <w:t>starpsavienojumos</w:t>
      </w:r>
      <w:proofErr w:type="spellEnd"/>
      <w:r w:rsidRPr="00C15715">
        <w:rPr>
          <w:rFonts w:eastAsia="Times New Roman" w:cstheme="minorHAnsi"/>
          <w:szCs w:val="24"/>
          <w:lang w:eastAsia="lv-LV"/>
        </w:rPr>
        <w:t xml:space="preserve"> nesasniedz pat 50% no teorētiski pieejamās jaudas, tomēr atsevišķos dabasgāzes pārvades sistēmas režīmos var tikt izmantotas līdz pat 100% no savienojumos </w:t>
      </w:r>
      <w:r w:rsidRPr="00C15715">
        <w:rPr>
          <w:rFonts w:eastAsia="Times New Roman" w:cstheme="minorHAnsi"/>
          <w:szCs w:val="24"/>
          <w:lang w:eastAsia="lv-LV"/>
        </w:rPr>
        <w:lastRenderedPageBreak/>
        <w:t xml:space="preserve">pieejamās jaudas, savukārt apkures sezonā galvenais dabasgāzes apgādes avots Latvijas patēriņa nodrošināšanai, ņemot vērā patēriņa pieaugumu visā reģionā un no tā izrietošo piegāžu apjoma samazināšanos pa cauruļvadiem un sašķidrinātās dabasgāzes kuģu pieejamības ierobežotību, ir Inčukalna pazemes gāzes krātuve.   </w:t>
      </w:r>
    </w:p>
    <w:p w14:paraId="40B5BE91" w14:textId="77777777" w:rsidR="00D87276" w:rsidRPr="00C15715" w:rsidRDefault="00D87276" w:rsidP="00D87276">
      <w:pPr>
        <w:pStyle w:val="Heading4"/>
      </w:pPr>
      <w:proofErr w:type="spellStart"/>
      <w:r w:rsidRPr="00C15715">
        <w:t>Starpsavienotāju</w:t>
      </w:r>
      <w:proofErr w:type="spellEnd"/>
      <w:r w:rsidRPr="00C15715">
        <w:t xml:space="preserve"> paplašināšanas prasību izpilde</w:t>
      </w:r>
    </w:p>
    <w:p w14:paraId="56756D90" w14:textId="185AE3A3"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Saskaņā ar EK informāciju Latvija (kopā Baltijas valstu grupā) 2017.gadā nodrošina 23,7% elektrības </w:t>
      </w:r>
      <w:proofErr w:type="spellStart"/>
      <w:r w:rsidRPr="00C15715">
        <w:rPr>
          <w:rFonts w:asciiTheme="minorHAnsi" w:hAnsiTheme="minorHAnsi" w:cstheme="minorHAnsi"/>
        </w:rPr>
        <w:t>starpsavienotības</w:t>
      </w:r>
      <w:proofErr w:type="spellEnd"/>
      <w:r w:rsidRPr="00C15715">
        <w:rPr>
          <w:rFonts w:asciiTheme="minorHAnsi" w:hAnsiTheme="minorHAnsi" w:cstheme="minorHAnsi"/>
        </w:rPr>
        <w:t xml:space="preserve"> līmeni. </w:t>
      </w:r>
      <w:proofErr w:type="spellStart"/>
      <w:r w:rsidRPr="00C15715">
        <w:rPr>
          <w:rFonts w:asciiTheme="minorHAnsi" w:hAnsiTheme="minorHAnsi" w:cstheme="minorHAnsi"/>
        </w:rPr>
        <w:t>Starpsavienojamības</w:t>
      </w:r>
      <w:proofErr w:type="spellEnd"/>
      <w:r w:rsidRPr="00C15715">
        <w:rPr>
          <w:rFonts w:asciiTheme="minorHAnsi" w:hAnsiTheme="minorHAnsi" w:cstheme="minorHAnsi"/>
        </w:rPr>
        <w:t xml:space="preserve"> līmenis Latvijai 2018.gadā ir aprēķināts, izmantojot vairākas formulas, neņemot vērā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ar trešajām valstīm (tikai ES DV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jaudas)</w:t>
      </w:r>
      <w:r w:rsidRPr="00C15715">
        <w:rPr>
          <w:rStyle w:val="FootnoteReference"/>
          <w:rFonts w:asciiTheme="minorHAnsi" w:hAnsiTheme="minorHAnsi" w:cstheme="minorHAnsi"/>
        </w:rPr>
        <w:footnoteReference w:id="30"/>
      </w:r>
      <w:r w:rsidRPr="00C15715">
        <w:rPr>
          <w:rFonts w:asciiTheme="minorHAnsi" w:hAnsiTheme="minorHAnsi" w:cstheme="minorHAnsi"/>
        </w:rPr>
        <w:t>:</w:t>
      </w:r>
    </w:p>
    <w:p w14:paraId="71F91E27" w14:textId="71DB96A4" w:rsidR="00D87276" w:rsidRPr="00C15715" w:rsidRDefault="00D87276" w:rsidP="00D87276">
      <w:pPr>
        <w:pStyle w:val="paragraph"/>
        <w:numPr>
          <w:ilvl w:val="2"/>
          <w:numId w:val="3"/>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 xml:space="preserve">ienākošās (import)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(kopējā) un pīķa jaudas (pieprasījuma) attiecība</w:t>
      </w:r>
      <w:r w:rsidR="009A7189">
        <w:rPr>
          <w:rFonts w:asciiTheme="minorHAnsi" w:hAnsiTheme="minorHAnsi" w:cstheme="minorHAnsi"/>
        </w:rPr>
        <w:t>;</w:t>
      </w:r>
    </w:p>
    <w:p w14:paraId="7D06AD22" w14:textId="102EF4C9" w:rsidR="00D87276" w:rsidRPr="00C15715" w:rsidRDefault="00D87276" w:rsidP="00D87276">
      <w:pPr>
        <w:pStyle w:val="paragraph"/>
        <w:numPr>
          <w:ilvl w:val="2"/>
          <w:numId w:val="3"/>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w:t>
      </w:r>
      <w:proofErr w:type="spellStart"/>
      <w:r w:rsidRPr="00C15715">
        <w:rPr>
          <w:rFonts w:asciiTheme="minorHAnsi" w:hAnsiTheme="minorHAnsi" w:cstheme="minorHAnsi"/>
        </w:rPr>
        <w:t>export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(kopējā) un pīķa jaudas (pieprasījuma) attiecība</w:t>
      </w:r>
      <w:r w:rsidR="009A7189">
        <w:rPr>
          <w:rFonts w:asciiTheme="minorHAnsi" w:hAnsiTheme="minorHAnsi" w:cstheme="minorHAnsi"/>
        </w:rPr>
        <w:t>;</w:t>
      </w:r>
    </w:p>
    <w:p w14:paraId="042CF202" w14:textId="74718960" w:rsidR="00D87276" w:rsidRPr="00C15715" w:rsidRDefault="00D87276" w:rsidP="00D87276">
      <w:pPr>
        <w:pStyle w:val="paragraph"/>
        <w:numPr>
          <w:ilvl w:val="2"/>
          <w:numId w:val="3"/>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 xml:space="preserve">ienākošās (import)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(kopējā) un uzstādītās AER jaudas attiecība</w:t>
      </w:r>
      <w:r w:rsidR="009A7189">
        <w:rPr>
          <w:rFonts w:asciiTheme="minorHAnsi" w:hAnsiTheme="minorHAnsi" w:cstheme="minorHAnsi"/>
        </w:rPr>
        <w:t>;</w:t>
      </w:r>
    </w:p>
    <w:p w14:paraId="4B4CE58E" w14:textId="42B01738" w:rsidR="00D87276" w:rsidRPr="00C15715" w:rsidRDefault="00D87276" w:rsidP="00D87276">
      <w:pPr>
        <w:pStyle w:val="paragraph"/>
        <w:numPr>
          <w:ilvl w:val="2"/>
          <w:numId w:val="3"/>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w:t>
      </w:r>
      <w:proofErr w:type="spellStart"/>
      <w:r w:rsidRPr="00C15715">
        <w:rPr>
          <w:rFonts w:asciiTheme="minorHAnsi" w:hAnsiTheme="minorHAnsi" w:cstheme="minorHAnsi"/>
        </w:rPr>
        <w:t>export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(kopējā) un uzstādītās AER jaudas attiecība</w:t>
      </w:r>
      <w:r w:rsidR="009A7189">
        <w:rPr>
          <w:rFonts w:asciiTheme="minorHAnsi" w:hAnsiTheme="minorHAnsi" w:cstheme="minorHAnsi"/>
        </w:rPr>
        <w:t>;</w:t>
      </w:r>
    </w:p>
    <w:p w14:paraId="600F6694" w14:textId="7877962F" w:rsidR="00D87276" w:rsidRPr="00C15715" w:rsidRDefault="00D87276" w:rsidP="00D87276">
      <w:pPr>
        <w:pStyle w:val="paragraph"/>
        <w:numPr>
          <w:ilvl w:val="2"/>
          <w:numId w:val="3"/>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 xml:space="preserve">ienākošās (import)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(starp LV un citu ES DV) un pīķa jaudas (pieprasījuma) attiecība</w:t>
      </w:r>
      <w:r w:rsidR="009A7189">
        <w:rPr>
          <w:rFonts w:asciiTheme="minorHAnsi" w:hAnsiTheme="minorHAnsi" w:cstheme="minorHAnsi"/>
        </w:rPr>
        <w:t>;</w:t>
      </w:r>
    </w:p>
    <w:p w14:paraId="49DF2E7B" w14:textId="1EC976EC" w:rsidR="00D87276" w:rsidRPr="00C15715" w:rsidRDefault="00D87276" w:rsidP="00D87276">
      <w:pPr>
        <w:pStyle w:val="paragraph"/>
        <w:numPr>
          <w:ilvl w:val="2"/>
          <w:numId w:val="3"/>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w:t>
      </w:r>
      <w:proofErr w:type="spellStart"/>
      <w:r w:rsidRPr="00C15715">
        <w:rPr>
          <w:rFonts w:asciiTheme="minorHAnsi" w:hAnsiTheme="minorHAnsi" w:cstheme="minorHAnsi"/>
        </w:rPr>
        <w:t>export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(starp LV un citu ES DV) un pīķa jaudas (pieprasījuma) attiecība</w:t>
      </w:r>
      <w:r w:rsidR="009A7189">
        <w:rPr>
          <w:rFonts w:asciiTheme="minorHAnsi" w:hAnsiTheme="minorHAnsi" w:cstheme="minorHAnsi"/>
        </w:rPr>
        <w:t>;</w:t>
      </w:r>
    </w:p>
    <w:p w14:paraId="1207020C" w14:textId="31E3FA4D" w:rsidR="00D87276" w:rsidRPr="00C15715" w:rsidRDefault="00D87276" w:rsidP="00D87276">
      <w:pPr>
        <w:pStyle w:val="paragraph"/>
        <w:numPr>
          <w:ilvl w:val="2"/>
          <w:numId w:val="3"/>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 xml:space="preserve">ienākošās (import)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(starp LV un citu ES DV) un uzstādītās AER jaudas attiecība</w:t>
      </w:r>
      <w:r w:rsidR="009A7189">
        <w:rPr>
          <w:rFonts w:asciiTheme="minorHAnsi" w:hAnsiTheme="minorHAnsi" w:cstheme="minorHAnsi"/>
        </w:rPr>
        <w:t>;</w:t>
      </w:r>
    </w:p>
    <w:p w14:paraId="31E64646" w14:textId="77777777" w:rsidR="00D87276" w:rsidRPr="00C15715" w:rsidRDefault="00D87276" w:rsidP="00D87276">
      <w:pPr>
        <w:pStyle w:val="paragraph"/>
        <w:numPr>
          <w:ilvl w:val="2"/>
          <w:numId w:val="3"/>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w:t>
      </w:r>
      <w:proofErr w:type="spellStart"/>
      <w:r w:rsidRPr="00C15715">
        <w:rPr>
          <w:rFonts w:asciiTheme="minorHAnsi" w:hAnsiTheme="minorHAnsi" w:cstheme="minorHAnsi"/>
        </w:rPr>
        <w:t>export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(starp LV un citu ES DV) un uzstādītās AER jaudas attiecība.</w:t>
      </w:r>
    </w:p>
    <w:p w14:paraId="6A22C2F2" w14:textId="76A78136" w:rsidR="00D87276" w:rsidRPr="00C15715" w:rsidRDefault="00D87276" w:rsidP="00D87276">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Tabula \* ARABIC </w:instrText>
      </w:r>
      <w:r w:rsidRPr="00C15715">
        <w:rPr>
          <w:rFonts w:asciiTheme="minorHAnsi" w:hAnsiTheme="minorHAnsi" w:cstheme="minorHAnsi"/>
        </w:rPr>
        <w:fldChar w:fldCharType="separate"/>
      </w:r>
      <w:r w:rsidR="001121B4">
        <w:rPr>
          <w:rFonts w:asciiTheme="minorHAnsi" w:hAnsiTheme="minorHAnsi" w:cstheme="minorHAnsi"/>
          <w:noProof/>
        </w:rPr>
        <w:t>6</w:t>
      </w:r>
      <w:r w:rsidRPr="00C15715">
        <w:rPr>
          <w:rFonts w:asciiTheme="minorHAnsi" w:hAnsiTheme="minorHAnsi" w:cstheme="minorHAnsi"/>
          <w:noProof/>
        </w:rPr>
        <w:fldChar w:fldCharType="end"/>
      </w:r>
      <w:r w:rsidRPr="00C15715">
        <w:rPr>
          <w:rFonts w:asciiTheme="minorHAnsi" w:hAnsiTheme="minorHAnsi" w:cstheme="minorHAnsi"/>
        </w:rPr>
        <w:t xml:space="preserve">.tabula. Latvijas elektroenerģijas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līmeņa 2018.gadā noteikšanai izmantotie dati</w:t>
      </w:r>
      <w:r w:rsidR="00105BE3" w:rsidRPr="00C15715">
        <w:rPr>
          <w:rFonts w:asciiTheme="minorHAnsi" w:hAnsiTheme="minorHAnsi" w:cstheme="minorHAnsi"/>
        </w:rPr>
        <w:t xml:space="preserve"> (MW)</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396"/>
      </w:tblGrid>
      <w:tr w:rsidR="00D87276" w:rsidRPr="00C15715" w14:paraId="009A47AB" w14:textId="77777777" w:rsidTr="00105BE3">
        <w:trPr>
          <w:trHeight w:val="315"/>
          <w:tblHeader/>
          <w:jc w:val="center"/>
        </w:trPr>
        <w:tc>
          <w:tcPr>
            <w:tcW w:w="7933" w:type="dxa"/>
            <w:shd w:val="clear" w:color="auto" w:fill="F2F2F2" w:themeFill="background1" w:themeFillShade="F2"/>
            <w:noWrap/>
            <w:vAlign w:val="center"/>
          </w:tcPr>
          <w:p w14:paraId="529D9DBF" w14:textId="77777777" w:rsidR="00D87276" w:rsidRPr="00C15715" w:rsidRDefault="00D87276" w:rsidP="00F97BC0">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Izmantotais parametrs</w:t>
            </w:r>
          </w:p>
        </w:tc>
        <w:tc>
          <w:tcPr>
            <w:tcW w:w="1396" w:type="dxa"/>
            <w:shd w:val="clear" w:color="auto" w:fill="F2F2F2" w:themeFill="background1" w:themeFillShade="F2"/>
            <w:noWrap/>
            <w:vAlign w:val="center"/>
          </w:tcPr>
          <w:p w14:paraId="03B98E71" w14:textId="77777777" w:rsidR="00D87276" w:rsidRPr="00C15715" w:rsidRDefault="00D87276" w:rsidP="00105BE3">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2018.g.</w:t>
            </w:r>
          </w:p>
        </w:tc>
      </w:tr>
      <w:tr w:rsidR="00D87276" w:rsidRPr="00C15715" w14:paraId="5AD622A9" w14:textId="77777777" w:rsidTr="00105BE3">
        <w:trPr>
          <w:trHeight w:val="315"/>
          <w:jc w:val="center"/>
        </w:trPr>
        <w:tc>
          <w:tcPr>
            <w:tcW w:w="7933" w:type="dxa"/>
            <w:shd w:val="clear" w:color="auto" w:fill="auto"/>
            <w:noWrap/>
            <w:vAlign w:val="center"/>
            <w:hideMark/>
          </w:tcPr>
          <w:p w14:paraId="39BC0A97" w14:textId="77777777" w:rsidR="00D87276" w:rsidRPr="00C15715" w:rsidRDefault="00D87276" w:rsidP="00F97BC0">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elektroenerģijas ražošanas jauda</w:t>
            </w:r>
          </w:p>
        </w:tc>
        <w:tc>
          <w:tcPr>
            <w:tcW w:w="1396" w:type="dxa"/>
            <w:shd w:val="clear" w:color="auto" w:fill="auto"/>
            <w:noWrap/>
            <w:vAlign w:val="center"/>
            <w:hideMark/>
          </w:tcPr>
          <w:p w14:paraId="7DEF27C8" w14:textId="77777777" w:rsidR="00D87276" w:rsidRPr="00C15715" w:rsidRDefault="00D87276" w:rsidP="00105BE3">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2986,18</w:t>
            </w:r>
          </w:p>
        </w:tc>
      </w:tr>
      <w:tr w:rsidR="00D87276" w:rsidRPr="00C15715" w14:paraId="0035358C" w14:textId="77777777" w:rsidTr="00105BE3">
        <w:trPr>
          <w:trHeight w:val="315"/>
          <w:jc w:val="center"/>
        </w:trPr>
        <w:tc>
          <w:tcPr>
            <w:tcW w:w="7933" w:type="dxa"/>
            <w:shd w:val="clear" w:color="auto" w:fill="auto"/>
            <w:noWrap/>
            <w:vAlign w:val="center"/>
            <w:hideMark/>
          </w:tcPr>
          <w:p w14:paraId="63FC82BC" w14:textId="77777777" w:rsidR="00D87276" w:rsidRPr="00C15715" w:rsidRDefault="00D87276" w:rsidP="00F97BC0">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 xml:space="preserve">ienākošā </w:t>
            </w:r>
            <w:proofErr w:type="spellStart"/>
            <w:r w:rsidRPr="00C15715">
              <w:rPr>
                <w:rFonts w:eastAsia="Times New Roman" w:cstheme="minorHAnsi"/>
                <w:color w:val="000000"/>
                <w:szCs w:val="24"/>
                <w:lang w:eastAsia="lv-LV"/>
              </w:rPr>
              <w:t>starpsavienojumu</w:t>
            </w:r>
            <w:proofErr w:type="spellEnd"/>
            <w:r w:rsidRPr="00C15715">
              <w:rPr>
                <w:rFonts w:eastAsia="Times New Roman" w:cstheme="minorHAnsi"/>
                <w:color w:val="000000"/>
                <w:szCs w:val="24"/>
                <w:lang w:eastAsia="lv-LV"/>
              </w:rPr>
              <w:t xml:space="preserve"> jauda (imports) (SJI)</w:t>
            </w:r>
          </w:p>
        </w:tc>
        <w:tc>
          <w:tcPr>
            <w:tcW w:w="1396" w:type="dxa"/>
            <w:shd w:val="clear" w:color="auto" w:fill="auto"/>
            <w:noWrap/>
            <w:vAlign w:val="center"/>
            <w:hideMark/>
          </w:tcPr>
          <w:p w14:paraId="6930623A" w14:textId="77777777" w:rsidR="00D87276" w:rsidRPr="00C15715" w:rsidRDefault="00D87276" w:rsidP="00105BE3">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1750</w:t>
            </w:r>
          </w:p>
        </w:tc>
      </w:tr>
      <w:tr w:rsidR="00D87276" w:rsidRPr="00C15715" w14:paraId="10459789" w14:textId="77777777" w:rsidTr="00105BE3">
        <w:trPr>
          <w:trHeight w:val="315"/>
          <w:jc w:val="center"/>
        </w:trPr>
        <w:tc>
          <w:tcPr>
            <w:tcW w:w="7933" w:type="dxa"/>
            <w:shd w:val="clear" w:color="auto" w:fill="auto"/>
            <w:noWrap/>
            <w:vAlign w:val="center"/>
            <w:hideMark/>
          </w:tcPr>
          <w:p w14:paraId="1453F39C" w14:textId="77777777" w:rsidR="00D87276" w:rsidRPr="00C15715" w:rsidRDefault="00D87276" w:rsidP="00F97BC0">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 xml:space="preserve">izejošā </w:t>
            </w:r>
            <w:proofErr w:type="spellStart"/>
            <w:r w:rsidRPr="00C15715">
              <w:rPr>
                <w:rFonts w:eastAsia="Times New Roman" w:cstheme="minorHAnsi"/>
                <w:color w:val="000000"/>
                <w:szCs w:val="24"/>
                <w:lang w:eastAsia="lv-LV"/>
              </w:rPr>
              <w:t>starpsavienojumu</w:t>
            </w:r>
            <w:proofErr w:type="spellEnd"/>
            <w:r w:rsidRPr="00C15715">
              <w:rPr>
                <w:rFonts w:eastAsia="Times New Roman" w:cstheme="minorHAnsi"/>
                <w:color w:val="000000"/>
                <w:szCs w:val="24"/>
                <w:lang w:eastAsia="lv-LV"/>
              </w:rPr>
              <w:t xml:space="preserve"> jauda (eksports) (SJE)</w:t>
            </w:r>
          </w:p>
        </w:tc>
        <w:tc>
          <w:tcPr>
            <w:tcW w:w="1396" w:type="dxa"/>
            <w:shd w:val="clear" w:color="auto" w:fill="auto"/>
            <w:noWrap/>
            <w:vAlign w:val="center"/>
            <w:hideMark/>
          </w:tcPr>
          <w:p w14:paraId="73B5608B" w14:textId="77777777" w:rsidR="00D87276" w:rsidRPr="00C15715" w:rsidRDefault="00D87276" w:rsidP="00105BE3">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1550</w:t>
            </w:r>
          </w:p>
        </w:tc>
      </w:tr>
      <w:tr w:rsidR="00D87276" w:rsidRPr="00C15715" w14:paraId="564DAC88" w14:textId="77777777" w:rsidTr="00105BE3">
        <w:trPr>
          <w:trHeight w:val="352"/>
          <w:jc w:val="center"/>
        </w:trPr>
        <w:tc>
          <w:tcPr>
            <w:tcW w:w="7933" w:type="dxa"/>
            <w:shd w:val="clear" w:color="auto" w:fill="auto"/>
            <w:noWrap/>
            <w:vAlign w:val="center"/>
            <w:hideMark/>
          </w:tcPr>
          <w:p w14:paraId="58D32322" w14:textId="77777777" w:rsidR="00D87276" w:rsidRPr="00C15715" w:rsidRDefault="00D87276" w:rsidP="00F97BC0">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pīķa jaudas (maksimālais pieprasījums 2018.g.) (PJ)</w:t>
            </w:r>
          </w:p>
        </w:tc>
        <w:tc>
          <w:tcPr>
            <w:tcW w:w="1396" w:type="dxa"/>
            <w:shd w:val="clear" w:color="auto" w:fill="auto"/>
            <w:noWrap/>
            <w:vAlign w:val="center"/>
            <w:hideMark/>
          </w:tcPr>
          <w:p w14:paraId="36F7AA51" w14:textId="77777777" w:rsidR="00D87276" w:rsidRPr="00C15715" w:rsidRDefault="00D87276" w:rsidP="00105BE3">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1255</w:t>
            </w:r>
          </w:p>
        </w:tc>
      </w:tr>
      <w:tr w:rsidR="00D87276" w:rsidRPr="00C15715" w14:paraId="5FA4C54F" w14:textId="77777777" w:rsidTr="00105BE3">
        <w:trPr>
          <w:trHeight w:val="315"/>
          <w:jc w:val="center"/>
        </w:trPr>
        <w:tc>
          <w:tcPr>
            <w:tcW w:w="7933" w:type="dxa"/>
            <w:shd w:val="clear" w:color="auto" w:fill="auto"/>
            <w:noWrap/>
            <w:vAlign w:val="center"/>
            <w:hideMark/>
          </w:tcPr>
          <w:p w14:paraId="7CE0C5B4" w14:textId="77777777" w:rsidR="00D87276" w:rsidRPr="00C15715" w:rsidRDefault="00D87276" w:rsidP="00F97BC0">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AER jauda (UAER)</w:t>
            </w:r>
          </w:p>
        </w:tc>
        <w:tc>
          <w:tcPr>
            <w:tcW w:w="1396" w:type="dxa"/>
            <w:shd w:val="clear" w:color="auto" w:fill="auto"/>
            <w:noWrap/>
            <w:vAlign w:val="center"/>
            <w:hideMark/>
          </w:tcPr>
          <w:p w14:paraId="560D8499" w14:textId="77777777" w:rsidR="00D87276" w:rsidRPr="00C15715" w:rsidRDefault="00D87276" w:rsidP="00105BE3">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1829,18</w:t>
            </w:r>
          </w:p>
        </w:tc>
      </w:tr>
      <w:tr w:rsidR="00D87276" w:rsidRPr="00C15715" w14:paraId="242E9F7A" w14:textId="77777777" w:rsidTr="00105BE3">
        <w:trPr>
          <w:trHeight w:val="315"/>
          <w:jc w:val="center"/>
        </w:trPr>
        <w:tc>
          <w:tcPr>
            <w:tcW w:w="7933" w:type="dxa"/>
            <w:shd w:val="clear" w:color="auto" w:fill="auto"/>
            <w:noWrap/>
            <w:vAlign w:val="center"/>
          </w:tcPr>
          <w:p w14:paraId="4F325ED6" w14:textId="77777777" w:rsidR="00D87276" w:rsidRPr="00C15715" w:rsidRDefault="00D87276" w:rsidP="00F97BC0">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 xml:space="preserve">ienākošo (importa) </w:t>
            </w:r>
            <w:proofErr w:type="spellStart"/>
            <w:r w:rsidRPr="00C15715">
              <w:rPr>
                <w:rFonts w:eastAsia="Times New Roman" w:cstheme="minorHAnsi"/>
                <w:color w:val="000000"/>
                <w:szCs w:val="24"/>
                <w:lang w:eastAsia="lv-LV"/>
              </w:rPr>
              <w:t>starpsavienojumu</w:t>
            </w:r>
            <w:proofErr w:type="spellEnd"/>
            <w:r w:rsidRPr="00C15715">
              <w:rPr>
                <w:rFonts w:eastAsia="Times New Roman" w:cstheme="minorHAnsi"/>
                <w:color w:val="000000"/>
                <w:szCs w:val="24"/>
                <w:lang w:eastAsia="lv-LV"/>
              </w:rPr>
              <w:t xml:space="preserve"> jauda (starp LV un ES dalībvalstīm) (SJI-LV)</w:t>
            </w:r>
          </w:p>
        </w:tc>
        <w:tc>
          <w:tcPr>
            <w:tcW w:w="1396" w:type="dxa"/>
            <w:shd w:val="clear" w:color="auto" w:fill="auto"/>
            <w:noWrap/>
            <w:vAlign w:val="center"/>
          </w:tcPr>
          <w:p w14:paraId="5A6D0A3D" w14:textId="77777777" w:rsidR="00D87276" w:rsidRPr="00C15715" w:rsidRDefault="00D87276" w:rsidP="00105BE3">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900</w:t>
            </w:r>
          </w:p>
        </w:tc>
      </w:tr>
      <w:tr w:rsidR="00D87276" w:rsidRPr="00C15715" w14:paraId="41002A2E" w14:textId="77777777" w:rsidTr="00105BE3">
        <w:trPr>
          <w:trHeight w:val="315"/>
          <w:jc w:val="center"/>
        </w:trPr>
        <w:tc>
          <w:tcPr>
            <w:tcW w:w="7933" w:type="dxa"/>
            <w:shd w:val="clear" w:color="auto" w:fill="auto"/>
            <w:noWrap/>
            <w:vAlign w:val="center"/>
          </w:tcPr>
          <w:p w14:paraId="2BA8D294" w14:textId="77777777" w:rsidR="00D87276" w:rsidRPr="00C15715" w:rsidRDefault="00D87276" w:rsidP="00F97BC0">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izejošā (</w:t>
            </w:r>
            <w:proofErr w:type="spellStart"/>
            <w:r w:rsidRPr="00C15715">
              <w:rPr>
                <w:rFonts w:eastAsia="Times New Roman" w:cstheme="minorHAnsi"/>
                <w:color w:val="000000"/>
                <w:szCs w:val="24"/>
                <w:lang w:eastAsia="lv-LV"/>
              </w:rPr>
              <w:t>exporta</w:t>
            </w:r>
            <w:proofErr w:type="spellEnd"/>
            <w:r w:rsidRPr="00C15715">
              <w:rPr>
                <w:rFonts w:eastAsia="Times New Roman" w:cstheme="minorHAnsi"/>
                <w:color w:val="000000"/>
                <w:szCs w:val="24"/>
                <w:lang w:eastAsia="lv-LV"/>
              </w:rPr>
              <w:t xml:space="preserve">) </w:t>
            </w:r>
            <w:proofErr w:type="spellStart"/>
            <w:r w:rsidRPr="00C15715">
              <w:rPr>
                <w:rFonts w:eastAsia="Times New Roman" w:cstheme="minorHAnsi"/>
                <w:color w:val="000000"/>
                <w:szCs w:val="24"/>
                <w:lang w:eastAsia="lv-LV"/>
              </w:rPr>
              <w:t>starpsavienojumu</w:t>
            </w:r>
            <w:proofErr w:type="spellEnd"/>
            <w:r w:rsidRPr="00C15715">
              <w:rPr>
                <w:rFonts w:eastAsia="Times New Roman" w:cstheme="minorHAnsi"/>
                <w:color w:val="000000"/>
                <w:szCs w:val="24"/>
                <w:lang w:eastAsia="lv-LV"/>
              </w:rPr>
              <w:t xml:space="preserve"> jauda (starp LV un ES dalībvalstīm) (SJE-LV)</w:t>
            </w:r>
          </w:p>
        </w:tc>
        <w:tc>
          <w:tcPr>
            <w:tcW w:w="1396" w:type="dxa"/>
            <w:shd w:val="clear" w:color="auto" w:fill="auto"/>
            <w:noWrap/>
            <w:vAlign w:val="center"/>
          </w:tcPr>
          <w:p w14:paraId="06A347A5" w14:textId="77777777" w:rsidR="00D87276" w:rsidRPr="00C15715" w:rsidRDefault="00D87276" w:rsidP="00105BE3">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1300</w:t>
            </w:r>
          </w:p>
        </w:tc>
      </w:tr>
    </w:tbl>
    <w:p w14:paraId="3E5F0B1E" w14:textId="77777777" w:rsidR="00D87276" w:rsidRPr="00C15715" w:rsidRDefault="00D87276" w:rsidP="00D87276">
      <w:pPr>
        <w:pStyle w:val="ListParagraph"/>
        <w:spacing w:before="120" w:after="120" w:line="240" w:lineRule="auto"/>
        <w:ind w:left="0"/>
        <w:contextualSpacing w:val="0"/>
        <w:jc w:val="both"/>
        <w:rPr>
          <w:rFonts w:cstheme="minorHAnsi"/>
        </w:rPr>
      </w:pPr>
      <w:r w:rsidRPr="00C15715">
        <w:rPr>
          <w:rFonts w:cstheme="minorHAnsi"/>
        </w:rPr>
        <w:t xml:space="preserve">Baltijas valstu caurlaides spējas aprēķinā netiek ņemta vērā tirdzniecība ar Krieviju, un aprēķinā ir iekļauti tikai </w:t>
      </w:r>
      <w:proofErr w:type="spellStart"/>
      <w:r w:rsidRPr="00C15715">
        <w:rPr>
          <w:rFonts w:cstheme="minorHAnsi"/>
        </w:rPr>
        <w:t>starpsavienojumi</w:t>
      </w:r>
      <w:proofErr w:type="spellEnd"/>
      <w:r w:rsidRPr="00C15715">
        <w:rPr>
          <w:rFonts w:cstheme="minorHAnsi"/>
        </w:rPr>
        <w:t xml:space="preserve"> Igaunija-Somija (1000 MW), Lietuva-Zviedrija (700 MW) un Lietuva-Polija (500 MW). Sakarā 2025. gada plāniem attiecībā uz </w:t>
      </w:r>
      <w:proofErr w:type="spellStart"/>
      <w:r w:rsidRPr="00C15715">
        <w:rPr>
          <w:rFonts w:cstheme="minorHAnsi"/>
        </w:rPr>
        <w:t>desinhronizāciju</w:t>
      </w:r>
      <w:proofErr w:type="spellEnd"/>
      <w:r w:rsidRPr="00C15715">
        <w:rPr>
          <w:rFonts w:cstheme="minorHAnsi"/>
        </w:rPr>
        <w:t xml:space="preserve"> no BRELL tīkla uz 2030. gadu caurlaides spēja uz Krieviju/Baltkrieviju/Kaļiņingradu ir 0 MW. </w:t>
      </w:r>
    </w:p>
    <w:p w14:paraId="5F3A40A8" w14:textId="77777777" w:rsidR="00D87276" w:rsidRPr="00C15715" w:rsidRDefault="00D87276" w:rsidP="00D87276">
      <w:pPr>
        <w:pStyle w:val="ListParagraph"/>
        <w:spacing w:before="120" w:after="120" w:line="240" w:lineRule="auto"/>
        <w:ind w:left="0"/>
        <w:contextualSpacing w:val="0"/>
        <w:jc w:val="center"/>
        <w:rPr>
          <w:rFonts w:cstheme="minorHAnsi"/>
        </w:rPr>
      </w:pPr>
      <w:r w:rsidRPr="00C15715">
        <w:rPr>
          <w:rFonts w:cstheme="minorHAnsi"/>
          <w:noProof/>
        </w:rPr>
        <w:lastRenderedPageBreak/>
        <w:drawing>
          <wp:inline distT="0" distB="0" distL="0" distR="0" wp14:anchorId="01ED8781" wp14:editId="6EB190A9">
            <wp:extent cx="4425294" cy="30005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55818" cy="3021268"/>
                    </a:xfrm>
                    <a:prstGeom prst="rect">
                      <a:avLst/>
                    </a:prstGeom>
                    <a:noFill/>
                  </pic:spPr>
                </pic:pic>
              </a:graphicData>
            </a:graphic>
          </wp:inline>
        </w:drawing>
      </w:r>
    </w:p>
    <w:p w14:paraId="58CF672A" w14:textId="6A1949C2"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16</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elektroenerģijas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līmenis 2018.gadā</w:t>
      </w:r>
    </w:p>
    <w:p w14:paraId="27B592F2" w14:textId="239DAEC4" w:rsidR="00D87276" w:rsidRDefault="00D87276" w:rsidP="00E866DC">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Ja ņem vērā Baltijas valstu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jaudas ar citām ES DV, tad ir secināms, ka LV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līmenis pārsniedz 85% visos rādītājos. Savukārt, ja ņem vērā tikai Latvijas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jaudas ar citām ES DV (Igauniju un Lietuvu), tad Latvijā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līmenis zemākajā rādītājā (importa </w:t>
      </w:r>
      <w:proofErr w:type="spellStart"/>
      <w:r w:rsidRPr="00C15715">
        <w:rPr>
          <w:rFonts w:asciiTheme="minorHAnsi" w:hAnsiTheme="minorHAnsi" w:cstheme="minorHAnsi"/>
        </w:rPr>
        <w:t>starpsavienojuma</w:t>
      </w:r>
      <w:proofErr w:type="spellEnd"/>
      <w:r w:rsidRPr="00C15715">
        <w:rPr>
          <w:rFonts w:asciiTheme="minorHAnsi" w:hAnsiTheme="minorHAnsi" w:cstheme="minorHAnsi"/>
        </w:rPr>
        <w:t xml:space="preserve"> jaudas un uzstādītās AER jaudas attiecība) ir 49%, līdz ar to Latvijai ir jādomā, kā uzlabot šo rādītāju līdz ieteicamajiem 60%. Eiropas Komisijas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ekspertu grupā ir ieteikts DV ar &lt;30% kādā no rādītājiem ir steidzami jāizpēta papildu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iespējas un ikgadēji ir jāziņo augsta līmeņa reģionālajām grupām un Infrastruktūras forumam par šādas izpētes rezultātiem. Jebkurš projekts, kas palīdz dalībvalstīm sasniegt 30% slieksni, ir jāiesniedz iekļaušanai desmit gadu tīklu attīstības plānā (</w:t>
      </w:r>
      <w:proofErr w:type="spellStart"/>
      <w:r w:rsidRPr="00C15715">
        <w:rPr>
          <w:rFonts w:asciiTheme="minorHAnsi" w:hAnsiTheme="minorHAnsi" w:cstheme="minorHAnsi"/>
        </w:rPr>
        <w:t>Ten-Year</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Network</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Development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Plan</w:t>
      </w:r>
      <w:proofErr w:type="spellEnd"/>
      <w:r w:rsidRPr="00C15715">
        <w:rPr>
          <w:rFonts w:asciiTheme="minorHAnsi" w:hAnsiTheme="minorHAnsi" w:cstheme="minorHAnsi"/>
        </w:rPr>
        <w:t xml:space="preserve"> – TYNDP) un turpmākajos kopīgi īstenojamo projektu (</w:t>
      </w:r>
      <w:proofErr w:type="spellStart"/>
      <w:r w:rsidRPr="00C15715">
        <w:rPr>
          <w:rFonts w:asciiTheme="minorHAnsi" w:hAnsiTheme="minorHAnsi" w:cstheme="minorHAnsi"/>
        </w:rPr>
        <w:t>project</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of</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common</w:t>
      </w:r>
      <w:proofErr w:type="spellEnd"/>
      <w:r w:rsidRPr="00C15715">
        <w:rPr>
          <w:rFonts w:asciiTheme="minorHAnsi" w:hAnsiTheme="minorHAnsi" w:cstheme="minorHAnsi"/>
        </w:rPr>
        <w:t xml:space="preserve"> </w:t>
      </w:r>
      <w:proofErr w:type="spellStart"/>
      <w:r w:rsidRPr="00C15715">
        <w:rPr>
          <w:rFonts w:asciiTheme="minorHAnsi" w:hAnsiTheme="minorHAnsi" w:cstheme="minorHAnsi"/>
        </w:rPr>
        <w:t>interest</w:t>
      </w:r>
      <w:proofErr w:type="spellEnd"/>
      <w:r w:rsidRPr="00C15715">
        <w:rPr>
          <w:rFonts w:asciiTheme="minorHAnsi" w:hAnsiTheme="minorHAnsi" w:cstheme="minorHAnsi"/>
        </w:rPr>
        <w:t xml:space="preserve"> – PCI) sarakstos. DV ar &gt;30%, bet &lt;60% kādā no rādītājiem tiek prasīts pētīt izstrādāt papildu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projektus. Tādiem projektiem būtu jāapsver iespēja pieteikties iekļaušanai TYNDP un turpmākajos PCI sarakstos.</w:t>
      </w:r>
    </w:p>
    <w:p w14:paraId="281A0CE4" w14:textId="77777777" w:rsidR="00BC501D" w:rsidRPr="00C15715" w:rsidRDefault="00BC501D" w:rsidP="00BC501D">
      <w:pPr>
        <w:pStyle w:val="paragraph"/>
        <w:spacing w:before="120" w:beforeAutospacing="0" w:after="120" w:afterAutospacing="0"/>
        <w:jc w:val="center"/>
        <w:textAlignment w:val="baseline"/>
        <w:rPr>
          <w:rFonts w:asciiTheme="minorHAnsi" w:hAnsiTheme="minorHAnsi" w:cstheme="minorHAnsi"/>
        </w:rPr>
      </w:pPr>
      <w:r w:rsidRPr="00C15715">
        <w:rPr>
          <w:rFonts w:asciiTheme="minorHAnsi" w:hAnsiTheme="minorHAnsi" w:cstheme="minorHAnsi"/>
          <w:noProof/>
        </w:rPr>
        <w:drawing>
          <wp:inline distT="0" distB="0" distL="0" distR="0" wp14:anchorId="1D6DBC79" wp14:editId="27379AE4">
            <wp:extent cx="3550455" cy="2850408"/>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0253" cy="2858274"/>
                    </a:xfrm>
                    <a:prstGeom prst="rect">
                      <a:avLst/>
                    </a:prstGeom>
                    <a:noFill/>
                    <a:ln>
                      <a:noFill/>
                    </a:ln>
                  </pic:spPr>
                </pic:pic>
              </a:graphicData>
            </a:graphic>
          </wp:inline>
        </w:drawing>
      </w:r>
    </w:p>
    <w:p w14:paraId="0A6D47F2" w14:textId="7FF6582B" w:rsidR="00BC501D" w:rsidRPr="00C15715" w:rsidRDefault="00BC501D" w:rsidP="00BC501D">
      <w:pPr>
        <w:pStyle w:val="Caption"/>
        <w:rPr>
          <w:rFonts w:asciiTheme="minorHAnsi" w:hAnsiTheme="minorHAnsi" w:cstheme="minorHAnsi"/>
        </w:rPr>
      </w:pPr>
      <w:r w:rsidRPr="00C15715">
        <w:rPr>
          <w:rFonts w:asciiTheme="minorHAnsi" w:hAnsiTheme="minorHAnsi" w:cstheme="minorHAnsi"/>
        </w:rPr>
        <w:lastRenderedPageBreak/>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r w:rsidR="001121B4">
        <w:rPr>
          <w:rFonts w:asciiTheme="minorHAnsi" w:hAnsiTheme="minorHAnsi" w:cstheme="minorHAnsi"/>
          <w:noProof/>
        </w:rPr>
        <w:t>17</w:t>
      </w:r>
      <w:r w:rsidRPr="00C15715">
        <w:rPr>
          <w:rFonts w:asciiTheme="minorHAnsi" w:hAnsiTheme="minorHAnsi" w:cstheme="minorHAnsi"/>
          <w:noProof/>
        </w:rPr>
        <w:fldChar w:fldCharType="end"/>
      </w:r>
      <w:r w:rsidRPr="00C15715">
        <w:rPr>
          <w:rFonts w:asciiTheme="minorHAnsi" w:hAnsiTheme="minorHAnsi" w:cstheme="minorHAnsi"/>
        </w:rPr>
        <w:t xml:space="preserve">.attēls. Baltijas </w:t>
      </w:r>
      <w:proofErr w:type="spellStart"/>
      <w:r w:rsidRPr="00C15715">
        <w:rPr>
          <w:rFonts w:asciiTheme="minorHAnsi" w:hAnsiTheme="minorHAnsi" w:cstheme="minorHAnsi"/>
        </w:rPr>
        <w:t>starpsavienojumu</w:t>
      </w:r>
      <w:proofErr w:type="spellEnd"/>
      <w:r w:rsidRPr="00C15715">
        <w:rPr>
          <w:rFonts w:asciiTheme="minorHAnsi" w:hAnsiTheme="minorHAnsi" w:cstheme="minorHAnsi"/>
        </w:rPr>
        <w:t xml:space="preserve"> jaudas attīstība ar Eiropas elektroenerģijas sistēmu (MW)</w:t>
      </w:r>
    </w:p>
    <w:p w14:paraId="7BD31BD6" w14:textId="77777777" w:rsidR="00D87276" w:rsidRPr="00C15715" w:rsidRDefault="00D87276" w:rsidP="00105BE3">
      <w:pPr>
        <w:pStyle w:val="Heading30"/>
      </w:pPr>
      <w:r w:rsidRPr="00C15715">
        <w:t>Enerģijas pārvades infrastruktūra</w:t>
      </w:r>
    </w:p>
    <w:p w14:paraId="6CDFDD58" w14:textId="77777777" w:rsidR="00D87276" w:rsidRPr="00C15715" w:rsidRDefault="00D87276" w:rsidP="00D87276">
      <w:pPr>
        <w:pStyle w:val="Heading4"/>
      </w:pPr>
      <w:r w:rsidRPr="00C15715">
        <w:t>Esošās elektroenerģijas un gāzes pārvades infrastruktūras galvenās iezīmes</w:t>
      </w:r>
    </w:p>
    <w:p w14:paraId="633B7BDE" w14:textId="77777777" w:rsidR="003B6211" w:rsidRPr="00C15715" w:rsidRDefault="003B6211" w:rsidP="003B6211">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Pārvades tīkla galvenie raksturlielumi ir pazeminošo apakšstaciju un augsta sprieguma sadales punktu skaits noteiktā teritorijā, kuru, savukārt, raksturo īpatnējais elektroenerģijas jaudas pieprasījums tajā, un atbilstošs pārvades līniju (330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un 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tīkls, kurš izpilda arī elektroapgādes drošuma un ekonomiskuma kritērijus. Pēc minētajiem kritērijiem pārvades tīkls uzskatāms par tuvu optimālam ar attīstības potenciālu. </w:t>
      </w:r>
      <w:r w:rsidR="00D87276" w:rsidRPr="00C15715">
        <w:rPr>
          <w:rFonts w:eastAsia="Times New Roman" w:cstheme="minorHAnsi"/>
          <w:szCs w:val="24"/>
          <w:lang w:eastAsia="lv-LV"/>
        </w:rPr>
        <w:t xml:space="preserve">Šobrīd elektroenerģijas pārvades tīkls sastāv no 1346,43 km 330 </w:t>
      </w:r>
      <w:proofErr w:type="spellStart"/>
      <w:r w:rsidR="00D87276" w:rsidRPr="00C15715">
        <w:rPr>
          <w:rFonts w:eastAsia="Times New Roman" w:cstheme="minorHAnsi"/>
          <w:szCs w:val="24"/>
          <w:lang w:eastAsia="lv-LV"/>
        </w:rPr>
        <w:t>kV</w:t>
      </w:r>
      <w:proofErr w:type="spellEnd"/>
      <w:r w:rsidR="00D87276" w:rsidRPr="00C15715">
        <w:rPr>
          <w:rFonts w:eastAsia="Times New Roman" w:cstheme="minorHAnsi"/>
          <w:szCs w:val="24"/>
          <w:lang w:eastAsia="lv-LV"/>
        </w:rPr>
        <w:t xml:space="preserve"> līnijām un 3893,54 km 110 </w:t>
      </w:r>
      <w:proofErr w:type="spellStart"/>
      <w:r w:rsidR="00D87276" w:rsidRPr="00C15715">
        <w:rPr>
          <w:rFonts w:eastAsia="Times New Roman" w:cstheme="minorHAnsi"/>
          <w:szCs w:val="24"/>
          <w:lang w:eastAsia="lv-LV"/>
        </w:rPr>
        <w:t>kV</w:t>
      </w:r>
      <w:proofErr w:type="spellEnd"/>
      <w:r w:rsidR="00D87276" w:rsidRPr="00C15715">
        <w:rPr>
          <w:rFonts w:eastAsia="Times New Roman" w:cstheme="minorHAnsi"/>
          <w:szCs w:val="24"/>
          <w:lang w:eastAsia="lv-LV"/>
        </w:rPr>
        <w:t xml:space="preserve"> līnijām, 25</w:t>
      </w:r>
      <w:r w:rsidRPr="00C15715">
        <w:rPr>
          <w:rFonts w:eastAsia="Times New Roman" w:cstheme="minorHAnsi"/>
          <w:szCs w:val="24"/>
          <w:lang w:eastAsia="lv-LV"/>
        </w:rPr>
        <w:t> </w:t>
      </w:r>
      <w:r w:rsidR="00D87276" w:rsidRPr="00C15715">
        <w:rPr>
          <w:rFonts w:eastAsia="Times New Roman" w:cstheme="minorHAnsi"/>
          <w:szCs w:val="24"/>
          <w:lang w:eastAsia="lv-LV"/>
        </w:rPr>
        <w:t>330</w:t>
      </w:r>
      <w:r w:rsidRPr="00C15715">
        <w:rPr>
          <w:rFonts w:eastAsia="Times New Roman" w:cstheme="minorHAnsi"/>
          <w:szCs w:val="24"/>
          <w:lang w:eastAsia="lv-LV"/>
        </w:rPr>
        <w:t xml:space="preserve"> </w:t>
      </w:r>
      <w:proofErr w:type="spellStart"/>
      <w:r w:rsidR="00D87276" w:rsidRPr="00C15715">
        <w:rPr>
          <w:rFonts w:eastAsia="Times New Roman" w:cstheme="minorHAnsi"/>
          <w:szCs w:val="24"/>
          <w:lang w:eastAsia="lv-LV"/>
        </w:rPr>
        <w:t>kV</w:t>
      </w:r>
      <w:proofErr w:type="spellEnd"/>
      <w:r w:rsidR="00D87276" w:rsidRPr="00C15715">
        <w:rPr>
          <w:rFonts w:eastAsia="Times New Roman" w:cstheme="minorHAnsi"/>
          <w:szCs w:val="24"/>
          <w:lang w:eastAsia="lv-LV"/>
        </w:rPr>
        <w:t xml:space="preserve"> transformatoriem un 248 110 </w:t>
      </w:r>
      <w:proofErr w:type="spellStart"/>
      <w:r w:rsidR="00D87276" w:rsidRPr="00C15715">
        <w:rPr>
          <w:rFonts w:eastAsia="Times New Roman" w:cstheme="minorHAnsi"/>
          <w:szCs w:val="24"/>
          <w:lang w:eastAsia="lv-LV"/>
        </w:rPr>
        <w:t>kV</w:t>
      </w:r>
      <w:proofErr w:type="spellEnd"/>
      <w:r w:rsidR="00D87276" w:rsidRPr="00C15715">
        <w:rPr>
          <w:rFonts w:eastAsia="Times New Roman" w:cstheme="minorHAnsi"/>
          <w:szCs w:val="24"/>
          <w:lang w:eastAsia="lv-LV"/>
        </w:rPr>
        <w:t xml:space="preserve"> transformatoriem ar kopējo uzstādīto jaudu 9020,5 MVA.</w:t>
      </w:r>
      <w:r w:rsidRPr="00C15715">
        <w:rPr>
          <w:rFonts w:eastAsia="Times New Roman" w:cstheme="minorHAnsi"/>
          <w:szCs w:val="24"/>
          <w:lang w:eastAsia="lv-LV"/>
        </w:rPr>
        <w:t xml:space="preserve"> Efektīvākai pārvades tīkla apkalpošanai ekspluatācijas struktūrvienības pēc teritoriālā principa ir sadalītas:</w:t>
      </w:r>
    </w:p>
    <w:p w14:paraId="7C0BDA12" w14:textId="77777777" w:rsidR="003B6211" w:rsidRPr="00C15715" w:rsidRDefault="003B6211" w:rsidP="003B6211">
      <w:pPr>
        <w:pStyle w:val="ListParagraph"/>
        <w:numPr>
          <w:ilvl w:val="0"/>
          <w:numId w:val="22"/>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 xml:space="preserve">13 apakšstaciju grupās - 330/110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apakšstaciju un sadales punktu ekspluatācijai - Salaspils, Krustpils, Daugavpils, </w:t>
      </w:r>
      <w:proofErr w:type="spellStart"/>
      <w:r w:rsidRPr="00C15715">
        <w:rPr>
          <w:rFonts w:eastAsia="Times New Roman" w:cstheme="minorHAnsi"/>
          <w:szCs w:val="24"/>
          <w:lang w:eastAsia="lv-LV"/>
        </w:rPr>
        <w:t>Viskaļi</w:t>
      </w:r>
      <w:proofErr w:type="spellEnd"/>
      <w:r w:rsidRPr="00C15715">
        <w:rPr>
          <w:rFonts w:eastAsia="Times New Roman" w:cstheme="minorHAnsi"/>
          <w:szCs w:val="24"/>
          <w:lang w:eastAsia="lv-LV"/>
        </w:rPr>
        <w:t xml:space="preserve"> (Jelgava), Brocēni, Grobiņa, Valmiera, Gulbene, Rēzekne, Sloka, Ventspils, Rīgā – Labā krasta un Kreisā krasta, ar vienu bāzes apakšstaciju katrā grupā;</w:t>
      </w:r>
    </w:p>
    <w:p w14:paraId="6DB9F05A" w14:textId="77777777" w:rsidR="00D87276" w:rsidRPr="00C15715" w:rsidRDefault="003B6211" w:rsidP="003B6211">
      <w:pPr>
        <w:pStyle w:val="ListParagraph"/>
        <w:numPr>
          <w:ilvl w:val="0"/>
          <w:numId w:val="22"/>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 xml:space="preserve">6 līniju iecirkņos - 330/110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pārvades elektrolīniju ekspluatācijai - Rīgas iecirknis, Krustpils iecirknis, Daugavpils iecirknis, Brocēnu iecirknis, Grobiņas iecirknis un Valmieras iecirknis.</w:t>
      </w:r>
    </w:p>
    <w:p w14:paraId="1146AACE" w14:textId="77777777" w:rsidR="003B6211" w:rsidRPr="00C15715" w:rsidRDefault="003B6211" w:rsidP="003B6211">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Latvijas energosistēmas 330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tīkls ir Baltijas valstu energosistēmas vidus posms starp tās ziemeļu un dienvidu daļām. Visām 330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apakšstacijām, izņemot “Daugavpils”, ir divpusēja barošana. 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tīklam ir loku shēma. Lielākā daļa 110 </w:t>
      </w:r>
      <w:proofErr w:type="spellStart"/>
      <w:r w:rsidRPr="00C15715">
        <w:rPr>
          <w:rFonts w:eastAsia="Times New Roman" w:cstheme="minorHAnsi"/>
          <w:szCs w:val="24"/>
          <w:lang w:eastAsia="lv-LV"/>
        </w:rPr>
        <w:t>kV</w:t>
      </w:r>
      <w:proofErr w:type="spellEnd"/>
      <w:r w:rsidRPr="00C15715">
        <w:rPr>
          <w:rFonts w:eastAsia="Times New Roman" w:cstheme="minorHAnsi"/>
          <w:szCs w:val="24"/>
          <w:lang w:eastAsia="lv-LV"/>
        </w:rPr>
        <w:t xml:space="preserve"> apakšstaciju ir ar diviem transformatoriem un ar divpusīgu barošanu.</w:t>
      </w:r>
    </w:p>
    <w:p w14:paraId="5F1348EC" w14:textId="77777777" w:rsidR="003B6211" w:rsidRPr="00C15715" w:rsidRDefault="003B6211" w:rsidP="00662B99">
      <w:pPr>
        <w:spacing w:before="120" w:after="120" w:line="240" w:lineRule="auto"/>
        <w:jc w:val="center"/>
        <w:rPr>
          <w:rFonts w:eastAsia="Times New Roman" w:cstheme="minorHAnsi"/>
          <w:szCs w:val="24"/>
          <w:lang w:eastAsia="lv-LV"/>
        </w:rPr>
      </w:pPr>
      <w:r w:rsidRPr="00C15715">
        <w:rPr>
          <w:rFonts w:eastAsia="Times New Roman" w:cstheme="minorHAnsi"/>
          <w:noProof/>
          <w:szCs w:val="24"/>
          <w:lang w:eastAsia="lv-LV"/>
        </w:rPr>
        <w:drawing>
          <wp:inline distT="0" distB="0" distL="0" distR="0" wp14:anchorId="2C6A4F3E" wp14:editId="75ED7080">
            <wp:extent cx="4665794" cy="345086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6192" cy="3458556"/>
                    </a:xfrm>
                    <a:prstGeom prst="rect">
                      <a:avLst/>
                    </a:prstGeom>
                  </pic:spPr>
                </pic:pic>
              </a:graphicData>
            </a:graphic>
          </wp:inline>
        </w:drawing>
      </w:r>
    </w:p>
    <w:p w14:paraId="01E16665" w14:textId="518613BE" w:rsidR="003B6211" w:rsidRPr="00C15715" w:rsidRDefault="003B6211" w:rsidP="003B6211">
      <w:pPr>
        <w:pStyle w:val="Caption"/>
        <w:rPr>
          <w:rFonts w:asciiTheme="minorHAnsi" w:hAnsiTheme="minorHAnsi" w:cstheme="minorHAnsi"/>
        </w:rPr>
      </w:pPr>
      <w:r w:rsidRPr="00C15715">
        <w:rPr>
          <w:rFonts w:asciiTheme="minorHAnsi" w:hAnsiTheme="minorHAnsi" w:cstheme="minorHAnsi"/>
          <w:noProof/>
        </w:rPr>
        <w:lastRenderedPageBreak/>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18</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330 </w:t>
      </w:r>
      <w:proofErr w:type="spellStart"/>
      <w:r w:rsidRPr="00C15715">
        <w:rPr>
          <w:rFonts w:asciiTheme="minorHAnsi" w:hAnsiTheme="minorHAnsi" w:cstheme="minorHAnsi"/>
        </w:rPr>
        <w:t>kV</w:t>
      </w:r>
      <w:proofErr w:type="spellEnd"/>
      <w:r w:rsidRPr="00C15715">
        <w:rPr>
          <w:rFonts w:asciiTheme="minorHAnsi" w:hAnsiTheme="minorHAnsi" w:cstheme="minorHAnsi"/>
        </w:rPr>
        <w:t xml:space="preserve"> un 110 </w:t>
      </w:r>
      <w:proofErr w:type="spellStart"/>
      <w:r w:rsidRPr="00C15715">
        <w:rPr>
          <w:rFonts w:asciiTheme="minorHAnsi" w:hAnsiTheme="minorHAnsi" w:cstheme="minorHAnsi"/>
        </w:rPr>
        <w:t>kV</w:t>
      </w:r>
      <w:proofErr w:type="spellEnd"/>
      <w:r w:rsidRPr="00C15715">
        <w:rPr>
          <w:rFonts w:asciiTheme="minorHAnsi" w:hAnsiTheme="minorHAnsi" w:cstheme="minorHAnsi"/>
        </w:rPr>
        <w:t xml:space="preserve"> elektrisko tīklu shēma</w:t>
      </w:r>
      <w:r w:rsidRPr="00C15715">
        <w:rPr>
          <w:rStyle w:val="FootnoteReference"/>
          <w:rFonts w:asciiTheme="minorHAnsi" w:hAnsiTheme="minorHAnsi" w:cstheme="minorHAnsi"/>
        </w:rPr>
        <w:footnoteReference w:id="31"/>
      </w:r>
    </w:p>
    <w:p w14:paraId="3F21F04E" w14:textId="77777777" w:rsidR="00D87276" w:rsidRPr="00C15715" w:rsidRDefault="00D87276" w:rsidP="00D87276">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Dabasgāzes pārvades un uzglabāšanas operators a/s „</w:t>
      </w:r>
      <w:proofErr w:type="spellStart"/>
      <w:r w:rsidRPr="00C15715">
        <w:rPr>
          <w:rFonts w:eastAsia="Times New Roman" w:cstheme="minorHAnsi"/>
          <w:szCs w:val="24"/>
          <w:lang w:eastAsia="lv-LV"/>
        </w:rPr>
        <w:t>Conexus</w:t>
      </w:r>
      <w:proofErr w:type="spellEnd"/>
      <w:r w:rsidRPr="00C15715">
        <w:rPr>
          <w:rFonts w:eastAsia="Times New Roman" w:cstheme="minorHAnsi"/>
          <w:szCs w:val="24"/>
          <w:lang w:eastAsia="lv-LV"/>
        </w:rPr>
        <w:t xml:space="preserve"> </w:t>
      </w:r>
      <w:proofErr w:type="spellStart"/>
      <w:r w:rsidRPr="00C15715">
        <w:rPr>
          <w:rFonts w:eastAsia="Times New Roman" w:cstheme="minorHAnsi"/>
          <w:szCs w:val="24"/>
          <w:lang w:eastAsia="lv-LV"/>
        </w:rPr>
        <w:t>Baltic</w:t>
      </w:r>
      <w:proofErr w:type="spellEnd"/>
      <w:r w:rsidRPr="00C15715">
        <w:rPr>
          <w:rFonts w:eastAsia="Times New Roman" w:cstheme="minorHAnsi"/>
          <w:szCs w:val="24"/>
          <w:lang w:eastAsia="lv-LV"/>
        </w:rPr>
        <w:t xml:space="preserve"> Grid” pārvalda 1188 km garu maģistrālo gāzesvadu sistēmu, pārklājot Latvijas reģionus un caur 40 gāzes regulēšanas stacijām pārvadot dabasgāzi uz vietējo gāzes sadales sistēmu. Inčukalna pazemes dabasgāzes krātuvē iespējams uzglabāt līdz pat 2,3 mljrd. m</w:t>
      </w:r>
      <w:r w:rsidRPr="00C15715">
        <w:rPr>
          <w:rFonts w:eastAsia="Times New Roman" w:cstheme="minorHAnsi"/>
          <w:szCs w:val="24"/>
          <w:vertAlign w:val="superscript"/>
          <w:lang w:eastAsia="lv-LV"/>
        </w:rPr>
        <w:t>3</w:t>
      </w:r>
      <w:r w:rsidRPr="00C15715">
        <w:rPr>
          <w:rFonts w:eastAsia="Times New Roman" w:cstheme="minorHAnsi"/>
          <w:szCs w:val="24"/>
          <w:lang w:eastAsia="lv-LV"/>
        </w:rPr>
        <w:t xml:space="preserve">  jeb 24,22 </w:t>
      </w:r>
      <w:proofErr w:type="spellStart"/>
      <w:r w:rsidRPr="00C15715">
        <w:rPr>
          <w:rFonts w:eastAsia="Times New Roman" w:cstheme="minorHAnsi"/>
          <w:szCs w:val="24"/>
          <w:lang w:eastAsia="lv-LV"/>
        </w:rPr>
        <w:t>TWh</w:t>
      </w:r>
      <w:proofErr w:type="spellEnd"/>
      <w:r w:rsidRPr="00C15715">
        <w:rPr>
          <w:rFonts w:eastAsia="Times New Roman" w:cstheme="minorHAnsi"/>
          <w:szCs w:val="24"/>
          <w:lang w:eastAsia="lv-LV"/>
        </w:rPr>
        <w:t xml:space="preserve"> dabasgāzes.</w:t>
      </w:r>
    </w:p>
    <w:p w14:paraId="140CC259" w14:textId="77777777" w:rsidR="00D87276" w:rsidRPr="00C15715" w:rsidRDefault="00D87276" w:rsidP="00D87276">
      <w:pPr>
        <w:pStyle w:val="Default"/>
        <w:spacing w:before="120" w:after="120"/>
        <w:jc w:val="both"/>
        <w:rPr>
          <w:rFonts w:asciiTheme="minorHAnsi" w:hAnsiTheme="minorHAnsi" w:cstheme="minorHAnsi"/>
          <w:color w:val="auto"/>
        </w:rPr>
      </w:pPr>
      <w:r w:rsidRPr="00C15715">
        <w:rPr>
          <w:rFonts w:asciiTheme="minorHAnsi" w:hAnsiTheme="minorHAnsi" w:cstheme="minorHAnsi"/>
        </w:rPr>
        <w:t>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kopumā ir labi attīstīti un to spēju nodrošināt stabilas piegādes paaugstina Inčukalna pazemes gāzes krātuve, tomēr tās izmantošanā pastāv arī būtiski ierobežojumi – piemēram, Igaunijas un Latvijas dabasgāzes sistēmu savienojums nepieciešamo iekārtu neesamības dēļ nenodrošina dabasgāzes pārsūknēšanu virzienā no Igaunijas un Latviju, savukārt Lietuvas un Latvijas pārvades savienojumu jauda ir nepietiekama, lai segtu dabasgāzes patēriņa maksimumslodzi un nodrošinātu dabasgāzes iesūknēšanu Inčukalna pazemes dabasgāzes krātuvē</w:t>
      </w:r>
      <w:r w:rsidRPr="00C15715">
        <w:rPr>
          <w:rFonts w:asciiTheme="minorHAnsi" w:hAnsiTheme="minorHAnsi" w:cstheme="minorHAnsi"/>
          <w:color w:val="auto"/>
        </w:rPr>
        <w:t>.</w:t>
      </w:r>
    </w:p>
    <w:p w14:paraId="48888AED" w14:textId="77777777" w:rsidR="00D87276" w:rsidRPr="00C15715" w:rsidRDefault="00D87276" w:rsidP="00D87276">
      <w:pPr>
        <w:pStyle w:val="Default"/>
        <w:spacing w:before="120" w:after="120"/>
        <w:jc w:val="center"/>
        <w:rPr>
          <w:rFonts w:asciiTheme="minorHAnsi" w:hAnsiTheme="minorHAnsi" w:cstheme="minorHAnsi"/>
          <w:color w:val="auto"/>
        </w:rPr>
      </w:pPr>
      <w:r w:rsidRPr="00C15715">
        <w:rPr>
          <w:rFonts w:asciiTheme="minorHAnsi" w:hAnsiTheme="minorHAnsi" w:cstheme="minorHAnsi"/>
          <w:noProof/>
          <w:color w:val="auto"/>
          <w:lang w:eastAsia="lv-LV"/>
        </w:rPr>
        <w:drawing>
          <wp:inline distT="0" distB="0" distL="0" distR="0" wp14:anchorId="7D87B25D" wp14:editId="59D2A7FF">
            <wp:extent cx="4409637" cy="269950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4101" cy="2702236"/>
                    </a:xfrm>
                    <a:prstGeom prst="rect">
                      <a:avLst/>
                    </a:prstGeom>
                    <a:noFill/>
                    <a:ln>
                      <a:noFill/>
                    </a:ln>
                  </pic:spPr>
                </pic:pic>
              </a:graphicData>
            </a:graphic>
          </wp:inline>
        </w:drawing>
      </w:r>
    </w:p>
    <w:p w14:paraId="39468196" w14:textId="0FB451F4"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19</w:t>
      </w:r>
      <w:r w:rsidRPr="00C15715">
        <w:rPr>
          <w:rFonts w:asciiTheme="minorHAnsi" w:hAnsiTheme="minorHAnsi" w:cstheme="minorHAnsi"/>
          <w:noProof/>
        </w:rPr>
        <w:fldChar w:fldCharType="end"/>
      </w:r>
      <w:r w:rsidRPr="00C15715">
        <w:rPr>
          <w:rFonts w:asciiTheme="minorHAnsi" w:hAnsiTheme="minorHAnsi" w:cstheme="minorHAnsi"/>
        </w:rPr>
        <w:t>.attēls. Dabasgāzes pārvades sistēma Latvijā</w:t>
      </w:r>
      <w:r w:rsidRPr="00C15715">
        <w:rPr>
          <w:rStyle w:val="FootnoteReference"/>
          <w:rFonts w:asciiTheme="minorHAnsi" w:hAnsiTheme="minorHAnsi" w:cstheme="minorHAnsi"/>
        </w:rPr>
        <w:footnoteReference w:id="32"/>
      </w:r>
    </w:p>
    <w:p w14:paraId="60E62903" w14:textId="2A7A945F" w:rsidR="00D87276" w:rsidRDefault="00D87276" w:rsidP="00BC501D">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ES kopumā joprojām ir ļoti atkarīga no trešo valstu dabasgāzes piegādēm. Latvijas dabasgāzes apgādes sistēma nav tieši savienota ar citu ES dalībvalstu, izņemot Lietuvu un Igauniju, sistēmām. Toties kopš darbojas Klaipēdas sašķidrinātās dabasgāzes terminālis, pastāv iespēja fiziski saņemt dabasgāzi ne tikai no Krievijas, bet arī citām valstīm.</w:t>
      </w:r>
    </w:p>
    <w:p w14:paraId="3A5C328C" w14:textId="77777777" w:rsidR="00F1046D" w:rsidRPr="00C15715" w:rsidRDefault="00F1046D" w:rsidP="00F1046D">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2017.gadā A/S “Sadales tīkls”, kuram ir pienākums veikt elektroenerģijas sadali, pildot sadales sistēmas operatora funkcijas Latvijā, atjaunot, uzturēt un ekspluatēt energoapgādes veikšanai nepieciešamo sadales sistēmas infrastruktūru, ar saviem pakalpojumiem aptvēra 99% no lietotājiem.</w:t>
      </w:r>
    </w:p>
    <w:p w14:paraId="78C049E7" w14:textId="77777777" w:rsidR="00D87276" w:rsidRPr="00C15715" w:rsidRDefault="00D87276" w:rsidP="00BC501D">
      <w:pPr>
        <w:pStyle w:val="Heading4"/>
      </w:pPr>
      <w:r w:rsidRPr="00C15715">
        <w:t>Tīkla paplašināšanas prasību prognozes</w:t>
      </w:r>
    </w:p>
    <w:p w14:paraId="65D6A00C" w14:textId="6D4895D6" w:rsidR="00BC501D" w:rsidRPr="00BC501D" w:rsidRDefault="00BC501D" w:rsidP="00BC501D">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 xml:space="preserve">Lai nodrošinātu drošu Latvijas elektroenerģijas sistēmas darbību, efektīvu elektroenerģijas tirgus funkcionēšanu, un, lai novērstu iekārtu novecošanu, Latvijas PSO rekonstruē un modernizē augstsprieguma apakšstacijas un elektroenerģijas sadales punktus, kā arī, ievērojot Latvijas un kaimiņvalstu elektroenerģijas sistēmu attīstības tendences, izvērtē un lemj par </w:t>
      </w:r>
      <w:r w:rsidRPr="00BC501D">
        <w:rPr>
          <w:rFonts w:asciiTheme="minorHAnsi" w:hAnsiTheme="minorHAnsi" w:cstheme="minorHAnsi"/>
        </w:rPr>
        <w:lastRenderedPageBreak/>
        <w:t xml:space="preserve">Latvijas elektroenerģijas pārvades sistēmas </w:t>
      </w:r>
      <w:proofErr w:type="spellStart"/>
      <w:r w:rsidRPr="00BC501D">
        <w:rPr>
          <w:rFonts w:asciiTheme="minorHAnsi" w:hAnsiTheme="minorHAnsi" w:cstheme="minorHAnsi"/>
        </w:rPr>
        <w:t>starpsavienojumu</w:t>
      </w:r>
      <w:proofErr w:type="spellEnd"/>
      <w:r w:rsidRPr="00BC501D">
        <w:rPr>
          <w:rFonts w:asciiTheme="minorHAnsi" w:hAnsiTheme="minorHAnsi" w:cstheme="minorHAnsi"/>
        </w:rPr>
        <w:t xml:space="preserve"> attīstības, kā arī par iekšēja tīkla pastiprināšanas un modernizēšanas nepieciešamību. Elektroenerģijas pārvades tīkls tiek attīstīts atbilstoši Latvijas elektroenerģijas pārvades sistēmas attīstības plānam</w:t>
      </w:r>
      <w:r w:rsidRPr="00BC501D">
        <w:rPr>
          <w:rStyle w:val="FootnoteReference"/>
          <w:rFonts w:asciiTheme="minorHAnsi" w:hAnsiTheme="minorHAnsi" w:cstheme="minorHAnsi"/>
        </w:rPr>
        <w:footnoteReference w:id="33"/>
      </w:r>
      <w:r w:rsidRPr="00BC501D">
        <w:rPr>
          <w:rFonts w:asciiTheme="minorHAnsi" w:hAnsiTheme="minorHAnsi" w:cstheme="minorHAnsi"/>
        </w:rPr>
        <w:t xml:space="preserve"> un Eiropas pārvades sistēmas desmit gadu attīstības plānam</w:t>
      </w:r>
      <w:r w:rsidRPr="00BC501D">
        <w:rPr>
          <w:rStyle w:val="FootnoteReference"/>
          <w:rFonts w:asciiTheme="minorHAnsi" w:hAnsiTheme="minorHAnsi" w:cstheme="minorHAnsi"/>
        </w:rPr>
        <w:footnoteReference w:id="34"/>
      </w:r>
      <w:r w:rsidRPr="00BC501D">
        <w:rPr>
          <w:rFonts w:asciiTheme="minorHAnsi" w:hAnsiTheme="minorHAnsi" w:cstheme="minorHAnsi"/>
        </w:rPr>
        <w:t xml:space="preserve">. </w:t>
      </w:r>
    </w:p>
    <w:p w14:paraId="14A9301A" w14:textId="123AD351" w:rsidR="00BC501D" w:rsidRPr="00BC501D" w:rsidRDefault="00BC501D" w:rsidP="00BC501D">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Periodā no 2020.gada līdz 2029.gadam Latvijas un Baltijas elektroenerģijas tīkla attīstībai tiks īstenoti šādi projekti:</w:t>
      </w:r>
    </w:p>
    <w:p w14:paraId="0A520C7A" w14:textId="68B678CB" w:rsidR="00BC501D" w:rsidRPr="00BC501D" w:rsidRDefault="00BC501D" w:rsidP="00BC501D">
      <w:pPr>
        <w:pStyle w:val="paragraph"/>
        <w:numPr>
          <w:ilvl w:val="0"/>
          <w:numId w:val="25"/>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 xml:space="preserve">Trešais elektriskais </w:t>
      </w:r>
      <w:proofErr w:type="spellStart"/>
      <w:r w:rsidRPr="00BC501D">
        <w:rPr>
          <w:rFonts w:asciiTheme="minorHAnsi" w:hAnsiTheme="minorHAnsi" w:cstheme="minorHAnsi"/>
        </w:rPr>
        <w:t>starpsavienojums</w:t>
      </w:r>
      <w:proofErr w:type="spellEnd"/>
      <w:r w:rsidRPr="00BC501D">
        <w:rPr>
          <w:rFonts w:asciiTheme="minorHAnsi" w:hAnsiTheme="minorHAnsi" w:cstheme="minorHAnsi"/>
        </w:rPr>
        <w:t xml:space="preserve"> starp Latviju un Igauniju</w:t>
      </w:r>
      <w:r>
        <w:rPr>
          <w:rFonts w:asciiTheme="minorHAnsi" w:hAnsiTheme="minorHAnsi" w:cstheme="minorHAnsi"/>
        </w:rPr>
        <w:t>;</w:t>
      </w:r>
    </w:p>
    <w:p w14:paraId="303897F5" w14:textId="3B44E12F" w:rsidR="00BC501D" w:rsidRPr="00BC501D" w:rsidRDefault="00BC501D" w:rsidP="00BC501D">
      <w:pPr>
        <w:pStyle w:val="paragraph"/>
        <w:numPr>
          <w:ilvl w:val="0"/>
          <w:numId w:val="25"/>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Elektropārvades tīkla savienojums “Rīgas TEC-2 – Rīgas HES”</w:t>
      </w:r>
      <w:r>
        <w:rPr>
          <w:rFonts w:asciiTheme="minorHAnsi" w:hAnsiTheme="minorHAnsi" w:cstheme="minorHAnsi"/>
        </w:rPr>
        <w:t>;</w:t>
      </w:r>
    </w:p>
    <w:p w14:paraId="6529DE47" w14:textId="7ED8D677" w:rsidR="00BC501D" w:rsidRPr="00BC501D" w:rsidRDefault="00290DBF" w:rsidP="00BC501D">
      <w:pPr>
        <w:pStyle w:val="paragraph"/>
        <w:numPr>
          <w:ilvl w:val="0"/>
          <w:numId w:val="25"/>
        </w:numPr>
        <w:spacing w:before="120" w:beforeAutospacing="0" w:after="120" w:afterAutospacing="0"/>
        <w:jc w:val="both"/>
        <w:textAlignment w:val="baseline"/>
        <w:rPr>
          <w:rFonts w:asciiTheme="minorHAnsi" w:hAnsiTheme="minorHAnsi" w:cstheme="minorHAnsi"/>
        </w:rPr>
      </w:pPr>
      <w:hyperlink r:id="rId27" w:history="1">
        <w:r w:rsidR="00BC501D" w:rsidRPr="00BC501D">
          <w:rPr>
            <w:rStyle w:val="Hyperlink"/>
            <w:rFonts w:asciiTheme="minorHAnsi" w:eastAsiaTheme="majorEastAsia" w:hAnsiTheme="minorHAnsi" w:cstheme="minorHAnsi"/>
            <w:color w:val="333333"/>
            <w:spacing w:val="-3"/>
            <w:u w:val="none"/>
            <w:bdr w:val="none" w:sz="0" w:space="0" w:color="auto" w:frame="1"/>
          </w:rPr>
          <w:t xml:space="preserve">Esošo Igaunijas - Latvijas 330 </w:t>
        </w:r>
        <w:proofErr w:type="spellStart"/>
        <w:r w:rsidR="00BC501D" w:rsidRPr="00BC501D">
          <w:rPr>
            <w:rStyle w:val="Hyperlink"/>
            <w:rFonts w:asciiTheme="minorHAnsi" w:eastAsiaTheme="majorEastAsia" w:hAnsiTheme="minorHAnsi" w:cstheme="minorHAnsi"/>
            <w:color w:val="333333"/>
            <w:spacing w:val="-3"/>
            <w:u w:val="none"/>
            <w:bdr w:val="none" w:sz="0" w:space="0" w:color="auto" w:frame="1"/>
          </w:rPr>
          <w:t>kV</w:t>
        </w:r>
        <w:proofErr w:type="spellEnd"/>
        <w:r w:rsidR="00BC501D" w:rsidRPr="00BC501D">
          <w:rPr>
            <w:rStyle w:val="Hyperlink"/>
            <w:rFonts w:asciiTheme="minorHAnsi" w:eastAsiaTheme="majorEastAsia" w:hAnsiTheme="minorHAnsi" w:cstheme="minorHAnsi"/>
            <w:color w:val="333333"/>
            <w:spacing w:val="-3"/>
            <w:u w:val="none"/>
            <w:bdr w:val="none" w:sz="0" w:space="0" w:color="auto" w:frame="1"/>
          </w:rPr>
          <w:t xml:space="preserve"> </w:t>
        </w:r>
        <w:proofErr w:type="spellStart"/>
        <w:r w:rsidR="00BC501D" w:rsidRPr="00BC501D">
          <w:rPr>
            <w:rStyle w:val="Hyperlink"/>
            <w:rFonts w:asciiTheme="minorHAnsi" w:eastAsiaTheme="majorEastAsia" w:hAnsiTheme="minorHAnsi" w:cstheme="minorHAnsi"/>
            <w:color w:val="333333"/>
            <w:spacing w:val="-3"/>
            <w:u w:val="none"/>
            <w:bdr w:val="none" w:sz="0" w:space="0" w:color="auto" w:frame="1"/>
          </w:rPr>
          <w:t>starpsavienojumu</w:t>
        </w:r>
        <w:proofErr w:type="spellEnd"/>
        <w:r w:rsidR="00BC501D" w:rsidRPr="00BC501D">
          <w:rPr>
            <w:rStyle w:val="Hyperlink"/>
            <w:rFonts w:asciiTheme="minorHAnsi" w:eastAsiaTheme="majorEastAsia" w:hAnsiTheme="minorHAnsi" w:cstheme="minorHAnsi"/>
            <w:color w:val="333333"/>
            <w:spacing w:val="-3"/>
            <w:u w:val="none"/>
            <w:bdr w:val="none" w:sz="0" w:space="0" w:color="auto" w:frame="1"/>
          </w:rPr>
          <w:t xml:space="preserve"> pārbūve</w:t>
        </w:r>
      </w:hyperlink>
      <w:r w:rsidR="00BC501D">
        <w:rPr>
          <w:rFonts w:asciiTheme="minorHAnsi" w:hAnsiTheme="minorHAnsi" w:cstheme="minorHAnsi"/>
        </w:rPr>
        <w:t>;</w:t>
      </w:r>
    </w:p>
    <w:p w14:paraId="1221C4E1" w14:textId="249C2067" w:rsidR="00BC501D" w:rsidRPr="00BC501D" w:rsidRDefault="00BC501D" w:rsidP="00BC501D">
      <w:pPr>
        <w:pStyle w:val="paragraph"/>
        <w:numPr>
          <w:ilvl w:val="0"/>
          <w:numId w:val="25"/>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 xml:space="preserve">Baltijas valstu sinhronizācija ar Eiropas elektropārvades tīkliem un </w:t>
      </w:r>
      <w:proofErr w:type="spellStart"/>
      <w:r w:rsidRPr="00BC501D">
        <w:rPr>
          <w:rFonts w:asciiTheme="minorHAnsi" w:hAnsiTheme="minorHAnsi" w:cstheme="minorHAnsi"/>
        </w:rPr>
        <w:t>desinhronizācija</w:t>
      </w:r>
      <w:proofErr w:type="spellEnd"/>
      <w:r w:rsidRPr="00BC501D">
        <w:rPr>
          <w:rFonts w:asciiTheme="minorHAnsi" w:hAnsiTheme="minorHAnsi" w:cstheme="minorHAnsi"/>
        </w:rPr>
        <w:t xml:space="preserve"> no Krievijas apvienotās elektroenerģijas sistēmas</w:t>
      </w:r>
      <w:r>
        <w:rPr>
          <w:rFonts w:asciiTheme="minorHAnsi" w:hAnsiTheme="minorHAnsi" w:cstheme="minorHAnsi"/>
        </w:rPr>
        <w:t>.</w:t>
      </w:r>
    </w:p>
    <w:p w14:paraId="6F28215F" w14:textId="43655B2D" w:rsidR="001A53F0" w:rsidRDefault="001A53F0" w:rsidP="00F1046D">
      <w:pPr>
        <w:pStyle w:val="paragraph"/>
        <w:spacing w:before="120" w:beforeAutospacing="0" w:after="120" w:afterAutospacing="0"/>
        <w:jc w:val="center"/>
        <w:textAlignment w:val="baseline"/>
        <w:rPr>
          <w:rFonts w:asciiTheme="minorHAnsi" w:hAnsiTheme="minorHAnsi" w:cstheme="minorHAnsi"/>
        </w:rPr>
      </w:pPr>
      <w:r w:rsidRPr="001A53F0">
        <w:rPr>
          <w:rFonts w:asciiTheme="minorHAnsi" w:hAnsiTheme="minorHAnsi" w:cstheme="minorHAnsi"/>
          <w:noProof/>
        </w:rPr>
        <w:drawing>
          <wp:inline distT="0" distB="0" distL="0" distR="0" wp14:anchorId="2FB09B75" wp14:editId="0540A39C">
            <wp:extent cx="3995257" cy="370236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06483" cy="3712765"/>
                    </a:xfrm>
                    <a:prstGeom prst="rect">
                      <a:avLst/>
                    </a:prstGeom>
                  </pic:spPr>
                </pic:pic>
              </a:graphicData>
            </a:graphic>
          </wp:inline>
        </w:drawing>
      </w:r>
    </w:p>
    <w:p w14:paraId="2267AD7C" w14:textId="6D7AC197" w:rsidR="001A53F0" w:rsidRPr="001A53F0" w:rsidRDefault="001A53F0" w:rsidP="001A53F0">
      <w:pPr>
        <w:pStyle w:val="paragraph"/>
        <w:spacing w:before="120" w:beforeAutospacing="0" w:after="120" w:afterAutospacing="0"/>
        <w:jc w:val="center"/>
        <w:textAlignment w:val="baseline"/>
        <w:rPr>
          <w:rFonts w:asciiTheme="minorHAnsi" w:hAnsiTheme="minorHAnsi" w:cstheme="minorHAnsi"/>
          <w:b/>
          <w:bCs/>
          <w:sz w:val="20"/>
          <w:szCs w:val="20"/>
        </w:rPr>
      </w:pPr>
      <w:r w:rsidRPr="001A53F0">
        <w:rPr>
          <w:rFonts w:asciiTheme="minorHAnsi" w:hAnsiTheme="minorHAnsi" w:cstheme="minorHAnsi"/>
          <w:b/>
          <w:bCs/>
          <w:sz w:val="20"/>
          <w:szCs w:val="20"/>
        </w:rPr>
        <w:fldChar w:fldCharType="begin"/>
      </w:r>
      <w:r w:rsidRPr="001A53F0">
        <w:rPr>
          <w:rFonts w:asciiTheme="minorHAnsi" w:hAnsiTheme="minorHAnsi" w:cstheme="minorHAnsi"/>
          <w:b/>
          <w:bCs/>
          <w:sz w:val="20"/>
          <w:szCs w:val="20"/>
        </w:rPr>
        <w:instrText xml:space="preserve"> SEQ Ilustrācija \* ARABIC </w:instrText>
      </w:r>
      <w:r w:rsidRPr="001A53F0">
        <w:rPr>
          <w:rFonts w:asciiTheme="minorHAnsi" w:hAnsiTheme="minorHAnsi" w:cstheme="minorHAnsi"/>
          <w:b/>
          <w:bCs/>
          <w:sz w:val="20"/>
          <w:szCs w:val="20"/>
        </w:rPr>
        <w:fldChar w:fldCharType="separate"/>
      </w:r>
      <w:r w:rsidR="001121B4">
        <w:rPr>
          <w:rFonts w:asciiTheme="minorHAnsi" w:hAnsiTheme="minorHAnsi" w:cstheme="minorHAnsi"/>
          <w:b/>
          <w:bCs/>
          <w:noProof/>
          <w:sz w:val="20"/>
          <w:szCs w:val="20"/>
        </w:rPr>
        <w:t>20</w:t>
      </w:r>
      <w:r w:rsidRPr="001A53F0">
        <w:rPr>
          <w:rFonts w:asciiTheme="minorHAnsi" w:hAnsiTheme="minorHAnsi" w:cstheme="minorHAnsi"/>
          <w:b/>
          <w:bCs/>
          <w:sz w:val="20"/>
          <w:szCs w:val="20"/>
        </w:rPr>
        <w:fldChar w:fldCharType="end"/>
      </w:r>
      <w:r w:rsidRPr="001A53F0">
        <w:rPr>
          <w:rFonts w:asciiTheme="minorHAnsi" w:hAnsiTheme="minorHAnsi" w:cstheme="minorHAnsi"/>
          <w:b/>
          <w:bCs/>
          <w:sz w:val="20"/>
          <w:szCs w:val="20"/>
        </w:rPr>
        <w:t>.attēls. Baltijas valstu projekti, atbilstoši Baltijas valstu PSO attīstības plāniem</w:t>
      </w:r>
    </w:p>
    <w:p w14:paraId="11AF854C" w14:textId="3CD815FD" w:rsidR="00C87757" w:rsidRPr="00F1046D" w:rsidRDefault="00B82F56" w:rsidP="00F1046D">
      <w:pPr>
        <w:pStyle w:val="paragraph"/>
        <w:spacing w:before="120" w:beforeAutospacing="0" w:after="120" w:afterAutospacing="0"/>
        <w:jc w:val="both"/>
        <w:textAlignment w:val="baseline"/>
        <w:rPr>
          <w:rFonts w:asciiTheme="minorHAnsi" w:hAnsiTheme="minorHAnsi" w:cstheme="minorHAnsi"/>
        </w:rPr>
      </w:pPr>
      <w:proofErr w:type="spellStart"/>
      <w:r w:rsidRPr="00F1046D">
        <w:rPr>
          <w:rFonts w:asciiTheme="minorHAnsi" w:hAnsiTheme="minorHAnsi" w:cstheme="minorHAnsi"/>
        </w:rPr>
        <w:t>Austrumbaltijas</w:t>
      </w:r>
      <w:proofErr w:type="spellEnd"/>
      <w:r w:rsidRPr="00F1046D">
        <w:rPr>
          <w:rFonts w:asciiTheme="minorHAnsi" w:hAnsiTheme="minorHAnsi" w:cstheme="minorHAnsi"/>
        </w:rPr>
        <w:t xml:space="preserve"> reģiona </w:t>
      </w:r>
      <w:proofErr w:type="spellStart"/>
      <w:r w:rsidRPr="00F1046D">
        <w:rPr>
          <w:rFonts w:asciiTheme="minorHAnsi" w:hAnsiTheme="minorHAnsi" w:cstheme="minorHAnsi"/>
        </w:rPr>
        <w:t>gāzapgādes</w:t>
      </w:r>
      <w:proofErr w:type="spellEnd"/>
      <w:r w:rsidRPr="00F1046D">
        <w:rPr>
          <w:rFonts w:asciiTheme="minorHAnsi" w:hAnsiTheme="minorHAnsi" w:cstheme="minorHAnsi"/>
        </w:rPr>
        <w:t xml:space="preserve"> sistēmām nav savienojuma ar kopējo ES dabasgāzes pārvades tīklu. Lai novērstu šo situāciju, saskaņā ar Eiropas Parlamenta un Padomes Regulu (ES) Nr. 347/2013 (2013. gada 17. aprīlis), ar ko nosaka Eiropas </w:t>
      </w:r>
      <w:proofErr w:type="spellStart"/>
      <w:r w:rsidRPr="00F1046D">
        <w:rPr>
          <w:rFonts w:asciiTheme="minorHAnsi" w:hAnsiTheme="minorHAnsi" w:cstheme="minorHAnsi"/>
        </w:rPr>
        <w:t>energoinfrastruktūras</w:t>
      </w:r>
      <w:proofErr w:type="spellEnd"/>
      <w:r w:rsidRPr="00F1046D">
        <w:rPr>
          <w:rFonts w:asciiTheme="minorHAnsi" w:hAnsiTheme="minorHAnsi" w:cstheme="minorHAnsi"/>
        </w:rPr>
        <w:t xml:space="preserve"> pamatnostādnes un atceļ Lēmumu Nr. 1364/2006/EK, groza Regulu (EK) Nr. 713/2009, Regulu (EK) Nr. 714/2009 un Regulu (EK) Nr. 715/2009, </w:t>
      </w:r>
      <w:proofErr w:type="spellStart"/>
      <w:r w:rsidRPr="00F1046D">
        <w:rPr>
          <w:rFonts w:asciiTheme="minorHAnsi" w:hAnsiTheme="minorHAnsi" w:cstheme="minorHAnsi"/>
        </w:rPr>
        <w:t>Austrumbaltijas</w:t>
      </w:r>
      <w:proofErr w:type="spellEnd"/>
      <w:r w:rsidRPr="00F1046D">
        <w:rPr>
          <w:rFonts w:asciiTheme="minorHAnsi" w:hAnsiTheme="minorHAnsi" w:cstheme="minorHAnsi"/>
        </w:rPr>
        <w:t xml:space="preserve"> reģions ir noteikts par vienu no ES prioritārajiem koridoriem. </w:t>
      </w:r>
    </w:p>
    <w:p w14:paraId="7AB38E14" w14:textId="627B47D0" w:rsidR="00B82F56" w:rsidRPr="00F1046D" w:rsidRDefault="00B82F56" w:rsidP="00F1046D">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Periodā no 2020.gada līdz 2029.gadam Latvijas un Baltijas</w:t>
      </w:r>
      <w:r w:rsidR="00F1046D" w:rsidRPr="00F1046D">
        <w:rPr>
          <w:rFonts w:asciiTheme="minorHAnsi" w:hAnsiTheme="minorHAnsi" w:cstheme="minorHAnsi"/>
        </w:rPr>
        <w:t xml:space="preserve"> dabasgāzes </w:t>
      </w:r>
      <w:r w:rsidRPr="00F1046D">
        <w:rPr>
          <w:rFonts w:asciiTheme="minorHAnsi" w:hAnsiTheme="minorHAnsi" w:cstheme="minorHAnsi"/>
        </w:rPr>
        <w:t>tīkla attīstībai tiks īstenoti šādi projekti:</w:t>
      </w:r>
    </w:p>
    <w:p w14:paraId="2E7EEB3A" w14:textId="2B4E40B0" w:rsidR="00F1046D" w:rsidRPr="00F1046D" w:rsidRDefault="00F1046D" w:rsidP="00F1046D">
      <w:pPr>
        <w:pStyle w:val="paragraph"/>
        <w:numPr>
          <w:ilvl w:val="0"/>
          <w:numId w:val="26"/>
        </w:numPr>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 xml:space="preserve">Igaunijas-Somijas </w:t>
      </w:r>
      <w:proofErr w:type="spellStart"/>
      <w:r w:rsidRPr="00F1046D">
        <w:rPr>
          <w:rFonts w:asciiTheme="minorHAnsi" w:hAnsiTheme="minorHAnsi" w:cstheme="minorHAnsi"/>
        </w:rPr>
        <w:t>starpsavienojuma</w:t>
      </w:r>
      <w:proofErr w:type="spellEnd"/>
      <w:r w:rsidRPr="00F1046D">
        <w:rPr>
          <w:rFonts w:asciiTheme="minorHAnsi" w:hAnsiTheme="minorHAnsi" w:cstheme="minorHAnsi"/>
        </w:rPr>
        <w:t xml:space="preserve"> (</w:t>
      </w:r>
      <w:proofErr w:type="spellStart"/>
      <w:r w:rsidRPr="00F1046D">
        <w:rPr>
          <w:rFonts w:asciiTheme="minorHAnsi" w:hAnsiTheme="minorHAnsi" w:cstheme="minorHAnsi"/>
        </w:rPr>
        <w:t>Balticconector</w:t>
      </w:r>
      <w:proofErr w:type="spellEnd"/>
      <w:r w:rsidRPr="00F1046D">
        <w:rPr>
          <w:rFonts w:asciiTheme="minorHAnsi" w:hAnsiTheme="minorHAnsi" w:cstheme="minorHAnsi"/>
        </w:rPr>
        <w:t>) būvniecība</w:t>
      </w:r>
      <w:r>
        <w:rPr>
          <w:rFonts w:asciiTheme="minorHAnsi" w:hAnsiTheme="minorHAnsi" w:cstheme="minorHAnsi"/>
        </w:rPr>
        <w:t>;</w:t>
      </w:r>
    </w:p>
    <w:p w14:paraId="7E71E226" w14:textId="74145D00" w:rsidR="00F1046D" w:rsidRPr="00F1046D" w:rsidRDefault="00F1046D" w:rsidP="00F1046D">
      <w:pPr>
        <w:pStyle w:val="paragraph"/>
        <w:numPr>
          <w:ilvl w:val="0"/>
          <w:numId w:val="26"/>
        </w:numPr>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lastRenderedPageBreak/>
        <w:t xml:space="preserve">Latvijas-Igaunijas </w:t>
      </w:r>
      <w:proofErr w:type="spellStart"/>
      <w:r w:rsidRPr="00F1046D">
        <w:rPr>
          <w:rFonts w:asciiTheme="minorHAnsi" w:hAnsiTheme="minorHAnsi" w:cstheme="minorHAnsi"/>
        </w:rPr>
        <w:t>starpsavienojuma</w:t>
      </w:r>
      <w:proofErr w:type="spellEnd"/>
      <w:r w:rsidRPr="00F1046D">
        <w:rPr>
          <w:rFonts w:asciiTheme="minorHAnsi" w:hAnsiTheme="minorHAnsi" w:cstheme="minorHAnsi"/>
        </w:rPr>
        <w:t xml:space="preserve"> (</w:t>
      </w:r>
      <w:proofErr w:type="spellStart"/>
      <w:r w:rsidRPr="00F1046D">
        <w:rPr>
          <w:rFonts w:asciiTheme="minorHAnsi" w:hAnsiTheme="minorHAnsi" w:cstheme="minorHAnsi"/>
        </w:rPr>
        <w:t>Karksi</w:t>
      </w:r>
      <w:proofErr w:type="spellEnd"/>
      <w:r w:rsidRPr="00F1046D">
        <w:rPr>
          <w:rFonts w:asciiTheme="minorHAnsi" w:hAnsiTheme="minorHAnsi" w:cstheme="minorHAnsi"/>
        </w:rPr>
        <w:t>) uzlabošana</w:t>
      </w:r>
      <w:r>
        <w:rPr>
          <w:rFonts w:asciiTheme="minorHAnsi" w:hAnsiTheme="minorHAnsi" w:cstheme="minorHAnsi"/>
        </w:rPr>
        <w:t>;</w:t>
      </w:r>
    </w:p>
    <w:p w14:paraId="6AE1C629" w14:textId="6CAA3F41" w:rsidR="00F1046D" w:rsidRPr="00F1046D" w:rsidRDefault="00F1046D" w:rsidP="00F1046D">
      <w:pPr>
        <w:pStyle w:val="paragraph"/>
        <w:numPr>
          <w:ilvl w:val="0"/>
          <w:numId w:val="26"/>
        </w:numPr>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Inčukalna PGK darbības uzlabošana</w:t>
      </w:r>
      <w:r>
        <w:rPr>
          <w:rFonts w:asciiTheme="minorHAnsi" w:hAnsiTheme="minorHAnsi" w:cstheme="minorHAnsi"/>
        </w:rPr>
        <w:t>;</w:t>
      </w:r>
    </w:p>
    <w:p w14:paraId="2E408881" w14:textId="51B49166" w:rsidR="00F1046D" w:rsidRPr="00F1046D" w:rsidRDefault="00F1046D" w:rsidP="00F1046D">
      <w:pPr>
        <w:pStyle w:val="paragraph"/>
        <w:numPr>
          <w:ilvl w:val="0"/>
          <w:numId w:val="26"/>
        </w:numPr>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 xml:space="preserve">Latvijas-Lietuvas </w:t>
      </w:r>
      <w:proofErr w:type="spellStart"/>
      <w:r w:rsidRPr="00F1046D">
        <w:rPr>
          <w:rFonts w:asciiTheme="minorHAnsi" w:hAnsiTheme="minorHAnsi" w:cstheme="minorHAnsi"/>
        </w:rPr>
        <w:t>starpsavienojuma</w:t>
      </w:r>
      <w:proofErr w:type="spellEnd"/>
      <w:r w:rsidRPr="00F1046D">
        <w:rPr>
          <w:rFonts w:asciiTheme="minorHAnsi" w:hAnsiTheme="minorHAnsi" w:cstheme="minorHAnsi"/>
        </w:rPr>
        <w:t xml:space="preserve"> uzlabošana</w:t>
      </w:r>
      <w:r>
        <w:rPr>
          <w:rFonts w:asciiTheme="minorHAnsi" w:hAnsiTheme="minorHAnsi" w:cstheme="minorHAnsi"/>
        </w:rPr>
        <w:t>;</w:t>
      </w:r>
    </w:p>
    <w:p w14:paraId="5D284BA6" w14:textId="73945779" w:rsidR="00F1046D" w:rsidRPr="00F1046D" w:rsidRDefault="00F1046D" w:rsidP="00F1046D">
      <w:pPr>
        <w:pStyle w:val="paragraph"/>
        <w:numPr>
          <w:ilvl w:val="0"/>
          <w:numId w:val="26"/>
        </w:numPr>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 xml:space="preserve">Polijas-Lietuvas </w:t>
      </w:r>
      <w:proofErr w:type="spellStart"/>
      <w:r w:rsidRPr="00F1046D">
        <w:rPr>
          <w:rFonts w:asciiTheme="minorHAnsi" w:hAnsiTheme="minorHAnsi" w:cstheme="minorHAnsi"/>
        </w:rPr>
        <w:t>starpsavienojums</w:t>
      </w:r>
      <w:proofErr w:type="spellEnd"/>
      <w:r w:rsidRPr="00F1046D">
        <w:rPr>
          <w:rFonts w:asciiTheme="minorHAnsi" w:hAnsiTheme="minorHAnsi" w:cstheme="minorHAnsi"/>
        </w:rPr>
        <w:t xml:space="preserve"> būvniecība</w:t>
      </w:r>
      <w:r>
        <w:rPr>
          <w:rFonts w:asciiTheme="minorHAnsi" w:hAnsiTheme="minorHAnsi" w:cstheme="minorHAnsi"/>
        </w:rPr>
        <w:t>.</w:t>
      </w:r>
    </w:p>
    <w:p w14:paraId="390E4FF1" w14:textId="00296C09" w:rsidR="00B82F56" w:rsidRDefault="00B82F56" w:rsidP="00F1046D">
      <w:pPr>
        <w:pStyle w:val="paragraph"/>
        <w:spacing w:before="120" w:beforeAutospacing="0" w:after="120" w:afterAutospacing="0"/>
        <w:jc w:val="center"/>
        <w:textAlignment w:val="baseline"/>
      </w:pPr>
      <w:r w:rsidRPr="00B82F56">
        <w:rPr>
          <w:noProof/>
        </w:rPr>
        <w:drawing>
          <wp:inline distT="0" distB="0" distL="0" distR="0" wp14:anchorId="0A543BC4" wp14:editId="64D3A605">
            <wp:extent cx="3460695" cy="27312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69143" cy="2737913"/>
                    </a:xfrm>
                    <a:prstGeom prst="rect">
                      <a:avLst/>
                    </a:prstGeom>
                  </pic:spPr>
                </pic:pic>
              </a:graphicData>
            </a:graphic>
          </wp:inline>
        </w:drawing>
      </w:r>
    </w:p>
    <w:p w14:paraId="37A0D27E" w14:textId="5824BA9A" w:rsidR="00B82F56" w:rsidRPr="00B82F56" w:rsidRDefault="00B82F56" w:rsidP="00B82F56">
      <w:pPr>
        <w:pStyle w:val="paragraph"/>
        <w:spacing w:before="120" w:beforeAutospacing="0" w:after="120" w:afterAutospacing="0"/>
        <w:jc w:val="center"/>
        <w:textAlignment w:val="baseline"/>
        <w:rPr>
          <w:rFonts w:asciiTheme="minorHAnsi" w:hAnsiTheme="minorHAnsi" w:cstheme="minorHAnsi"/>
          <w:b/>
          <w:bCs/>
          <w:sz w:val="20"/>
          <w:szCs w:val="20"/>
        </w:rPr>
      </w:pPr>
      <w:r w:rsidRPr="00B82F56">
        <w:rPr>
          <w:rFonts w:asciiTheme="minorHAnsi" w:hAnsiTheme="minorHAnsi" w:cstheme="minorHAnsi"/>
          <w:b/>
          <w:bCs/>
          <w:sz w:val="20"/>
          <w:szCs w:val="20"/>
        </w:rPr>
        <w:fldChar w:fldCharType="begin"/>
      </w:r>
      <w:r w:rsidRPr="00B82F56">
        <w:rPr>
          <w:rFonts w:asciiTheme="minorHAnsi" w:hAnsiTheme="minorHAnsi" w:cstheme="minorHAnsi"/>
          <w:b/>
          <w:bCs/>
          <w:sz w:val="20"/>
          <w:szCs w:val="20"/>
        </w:rPr>
        <w:instrText xml:space="preserve"> SEQ Ilustrācija \* ARABIC </w:instrText>
      </w:r>
      <w:r w:rsidRPr="00B82F56">
        <w:rPr>
          <w:rFonts w:asciiTheme="minorHAnsi" w:hAnsiTheme="minorHAnsi" w:cstheme="minorHAnsi"/>
          <w:b/>
          <w:bCs/>
          <w:sz w:val="20"/>
          <w:szCs w:val="20"/>
        </w:rPr>
        <w:fldChar w:fldCharType="separate"/>
      </w:r>
      <w:r w:rsidR="001121B4">
        <w:rPr>
          <w:rFonts w:asciiTheme="minorHAnsi" w:hAnsiTheme="minorHAnsi" w:cstheme="minorHAnsi"/>
          <w:b/>
          <w:bCs/>
          <w:noProof/>
          <w:sz w:val="20"/>
          <w:szCs w:val="20"/>
        </w:rPr>
        <w:t>21</w:t>
      </w:r>
      <w:r w:rsidRPr="00B82F56">
        <w:rPr>
          <w:rFonts w:asciiTheme="minorHAnsi" w:hAnsiTheme="minorHAnsi" w:cstheme="minorHAnsi"/>
          <w:b/>
          <w:bCs/>
          <w:sz w:val="20"/>
          <w:szCs w:val="20"/>
        </w:rPr>
        <w:fldChar w:fldCharType="end"/>
      </w:r>
      <w:r w:rsidRPr="00B82F56">
        <w:rPr>
          <w:rFonts w:asciiTheme="minorHAnsi" w:hAnsiTheme="minorHAnsi" w:cstheme="minorHAnsi"/>
          <w:b/>
          <w:bCs/>
          <w:sz w:val="20"/>
          <w:szCs w:val="20"/>
        </w:rPr>
        <w:t>.attēls. Plānotie dabasgāzes infrastruktūras projekti Baltijā</w:t>
      </w:r>
      <w:r w:rsidRPr="00B82F56">
        <w:rPr>
          <w:rStyle w:val="FootnoteReference"/>
          <w:rFonts w:asciiTheme="minorHAnsi" w:hAnsiTheme="minorHAnsi" w:cstheme="minorHAnsi"/>
          <w:b/>
          <w:bCs/>
          <w:sz w:val="20"/>
          <w:szCs w:val="20"/>
        </w:rPr>
        <w:footnoteReference w:id="35"/>
      </w:r>
    </w:p>
    <w:p w14:paraId="2111BAB8" w14:textId="6C738961" w:rsidR="00D87276" w:rsidRPr="00C15715" w:rsidRDefault="00D87276" w:rsidP="00284930">
      <w:pPr>
        <w:pStyle w:val="Heading30"/>
      </w:pPr>
      <w:r w:rsidRPr="00C15715">
        <w:t>Elektroenerģijas un gāzes tirgi</w:t>
      </w:r>
      <w:r w:rsidR="00C87757">
        <w:t xml:space="preserve"> un </w:t>
      </w:r>
      <w:r w:rsidRPr="00C15715">
        <w:t>enerģijas cenas</w:t>
      </w:r>
    </w:p>
    <w:p w14:paraId="4034F7DD" w14:textId="44DA9D46" w:rsidR="00D87276" w:rsidRPr="00C15715" w:rsidRDefault="00D87276" w:rsidP="00D87276">
      <w:pPr>
        <w:pStyle w:val="Heading4"/>
      </w:pPr>
      <w:r w:rsidRPr="00C15715">
        <w:t>Pašreizējā situācija elektroenerģijas un gāzes tirgos</w:t>
      </w:r>
      <w:r w:rsidR="00C87757">
        <w:t xml:space="preserve"> un </w:t>
      </w:r>
      <w:r w:rsidRPr="00C15715">
        <w:t>enerģijas cen</w:t>
      </w:r>
      <w:r w:rsidR="0018794B">
        <w:t>ā</w:t>
      </w:r>
      <w:r w:rsidR="006C1A81">
        <w:t>s</w:t>
      </w:r>
    </w:p>
    <w:p w14:paraId="4B15BD04" w14:textId="4A3DFB4F" w:rsidR="00D87276" w:rsidRPr="00C15715" w:rsidRDefault="009A7189" w:rsidP="009A7189">
      <w:pPr>
        <w:spacing w:before="120" w:after="120" w:line="240" w:lineRule="auto"/>
        <w:jc w:val="both"/>
        <w:rPr>
          <w:rFonts w:cstheme="minorHAnsi"/>
          <w:szCs w:val="24"/>
        </w:rPr>
      </w:pPr>
      <w:r>
        <w:rPr>
          <w:rFonts w:cstheme="minorHAnsi"/>
          <w:szCs w:val="24"/>
        </w:rPr>
        <w:t>2017.gadā arī Latvijā ir novērots būtisks elektroenerģijas cenu kritums –</w:t>
      </w:r>
      <w:r w:rsidR="00D87276" w:rsidRPr="00C15715">
        <w:rPr>
          <w:rFonts w:cstheme="minorHAnsi"/>
          <w:szCs w:val="24"/>
        </w:rPr>
        <w:t xml:space="preserve"> 3,91 % apmērā līdz 34,68 EUR/</w:t>
      </w:r>
      <w:proofErr w:type="spellStart"/>
      <w:r w:rsidR="00D87276" w:rsidRPr="00C15715">
        <w:rPr>
          <w:rFonts w:cstheme="minorHAnsi"/>
          <w:szCs w:val="24"/>
        </w:rPr>
        <w:t>MWh</w:t>
      </w:r>
      <w:proofErr w:type="spellEnd"/>
      <w:r w:rsidR="00D87276" w:rsidRPr="00C15715">
        <w:rPr>
          <w:rFonts w:cstheme="minorHAnsi"/>
          <w:szCs w:val="24"/>
        </w:rPr>
        <w:t xml:space="preserve"> cenas atzīmei. Cenas pazemināšanās Latvijā galvenokārt bija saistīta ar </w:t>
      </w:r>
      <w:proofErr w:type="spellStart"/>
      <w:r w:rsidR="00D87276" w:rsidRPr="00C15715">
        <w:rPr>
          <w:rFonts w:cstheme="minorHAnsi"/>
          <w:szCs w:val="24"/>
        </w:rPr>
        <w:t>NordBalt</w:t>
      </w:r>
      <w:proofErr w:type="spellEnd"/>
      <w:r w:rsidR="00D87276" w:rsidRPr="00C15715">
        <w:rPr>
          <w:rFonts w:cstheme="minorHAnsi"/>
          <w:szCs w:val="24"/>
        </w:rPr>
        <w:t xml:space="preserve"> pirmo pilno darba gadu (pēc testēšanas perioda). Pateicoties tam, ievērojami samazinājās neplānotu padeves pārrāvumu un apkopju skaits, kas, savukārt, ļāva elektrības cenām Latvijā pietuvoties Ziemeļvalstu tirgus cenām.</w:t>
      </w:r>
    </w:p>
    <w:p w14:paraId="1C01133A" w14:textId="77777777" w:rsidR="00D87276" w:rsidRPr="00C15715" w:rsidRDefault="00D87276" w:rsidP="00D87276">
      <w:pPr>
        <w:spacing w:before="120" w:after="120" w:line="240" w:lineRule="auto"/>
        <w:jc w:val="center"/>
        <w:rPr>
          <w:rFonts w:cstheme="minorHAnsi"/>
          <w:szCs w:val="24"/>
        </w:rPr>
      </w:pPr>
      <w:r w:rsidRPr="00C15715">
        <w:rPr>
          <w:rFonts w:cstheme="minorHAnsi"/>
          <w:noProof/>
          <w:szCs w:val="24"/>
          <w:lang w:eastAsia="lv-LV"/>
        </w:rPr>
        <w:drawing>
          <wp:inline distT="0" distB="0" distL="0" distR="0" wp14:anchorId="7CA43B5A" wp14:editId="4385E71A">
            <wp:extent cx="4340860" cy="2950845"/>
            <wp:effectExtent l="0" t="0" r="254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704B6A90" w14:textId="52EBA97A" w:rsidR="00D87276" w:rsidRPr="00C15715" w:rsidRDefault="00D87276" w:rsidP="00D87276">
      <w:pPr>
        <w:pStyle w:val="Caption"/>
        <w:rPr>
          <w:rFonts w:asciiTheme="minorHAnsi" w:hAnsiTheme="minorHAnsi" w:cstheme="minorHAnsi"/>
          <w:sz w:val="24"/>
          <w:szCs w:val="24"/>
        </w:rPr>
      </w:pPr>
      <w:r w:rsidRPr="00C15715">
        <w:rPr>
          <w:rFonts w:asciiTheme="minorHAnsi" w:hAnsiTheme="minorHAnsi" w:cstheme="minorHAnsi"/>
          <w:szCs w:val="24"/>
        </w:rPr>
        <w:lastRenderedPageBreak/>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r w:rsidR="001121B4">
        <w:rPr>
          <w:rFonts w:asciiTheme="minorHAnsi" w:hAnsiTheme="minorHAnsi" w:cstheme="minorHAnsi"/>
          <w:noProof/>
          <w:szCs w:val="24"/>
        </w:rPr>
        <w:t>22</w:t>
      </w:r>
      <w:r w:rsidRPr="00C15715">
        <w:rPr>
          <w:rFonts w:asciiTheme="minorHAnsi" w:hAnsiTheme="minorHAnsi" w:cstheme="minorHAnsi"/>
          <w:szCs w:val="24"/>
        </w:rPr>
        <w:fldChar w:fldCharType="end"/>
      </w:r>
      <w:r w:rsidRPr="00C15715">
        <w:rPr>
          <w:rFonts w:asciiTheme="minorHAnsi" w:hAnsiTheme="minorHAnsi" w:cstheme="minorHAnsi"/>
        </w:rPr>
        <w:t xml:space="preserve">.attēls. Elektroenerģijas izmaksas mājsaimniecībai ar 200 </w:t>
      </w:r>
      <w:proofErr w:type="spellStart"/>
      <w:r w:rsidRPr="00C15715">
        <w:rPr>
          <w:rFonts w:asciiTheme="minorHAnsi" w:hAnsiTheme="minorHAnsi" w:cstheme="minorHAnsi"/>
        </w:rPr>
        <w:t>kWh</w:t>
      </w:r>
      <w:proofErr w:type="spellEnd"/>
      <w:r w:rsidRPr="00C15715">
        <w:rPr>
          <w:rFonts w:asciiTheme="minorHAnsi" w:hAnsiTheme="minorHAnsi" w:cstheme="minorHAnsi"/>
        </w:rPr>
        <w:t xml:space="preserve"> patēriņu mēnesī</w:t>
      </w:r>
      <w:r w:rsidRPr="00C15715">
        <w:rPr>
          <w:rStyle w:val="FootnoteReference"/>
          <w:rFonts w:asciiTheme="minorHAnsi" w:hAnsiTheme="minorHAnsi" w:cstheme="minorHAnsi"/>
        </w:rPr>
        <w:footnoteReference w:id="36"/>
      </w:r>
    </w:p>
    <w:p w14:paraId="184415FE"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t>Latvijas dabasgāzes tirgus  apjoms ir ap 1,3 mljrd. m</w:t>
      </w:r>
      <w:r w:rsidRPr="00C15715">
        <w:rPr>
          <w:rFonts w:cstheme="minorHAnsi"/>
          <w:szCs w:val="24"/>
          <w:vertAlign w:val="superscript"/>
        </w:rPr>
        <w:t>3</w:t>
      </w:r>
      <w:r w:rsidRPr="00C15715">
        <w:rPr>
          <w:rFonts w:cstheme="minorHAnsi"/>
          <w:szCs w:val="24"/>
        </w:rPr>
        <w:t>, un dabasgāzes tirgus samazinājumam ir vairāki objektīvi un pozitīvi iemesli – zudumu samazināšanās energoapgādē, it īpaši siltuma nozarē,  kā arī vietējo resursu veiksmīga izmantošana, piemēram, siltumapgādē. Tas ir arī ieguvums Latvijas drošībai, jo samazinājusies atkarība no energoresursu importa. Latvijas potenciālā priekšrocība reģionāla tirgus ietvaros ir tās ģeogrāfiskais novietojums, kas rada iespējas dabas gāzes tranzītam Dienvidu-Ziemeļu virzienā, kā arī Inčukalna pazemes gāzes krātuves tehniskās iespējas, izmantojot to kā tirgus instrumentu.</w:t>
      </w:r>
    </w:p>
    <w:p w14:paraId="070C7889"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t>Laika periodā no 2013.gada līdz 2017.gada beigām Latvijas mājsaimniecības par dabasgāzi vidēji maksājušas 0,0456 EUR/</w:t>
      </w:r>
      <w:proofErr w:type="spellStart"/>
      <w:r w:rsidRPr="00C15715">
        <w:rPr>
          <w:rFonts w:cstheme="minorHAnsi"/>
          <w:szCs w:val="24"/>
        </w:rPr>
        <w:t>kWh</w:t>
      </w:r>
      <w:proofErr w:type="spellEnd"/>
      <w:r w:rsidRPr="00C15715">
        <w:rPr>
          <w:rFonts w:cstheme="minorHAnsi"/>
          <w:szCs w:val="24"/>
        </w:rPr>
        <w:t>, kas ir nedaudz vairāk kā Igaunijā, savukārt mazāk kā Lietuvā, un ES kopā, kur vidējā mazumtirdzniecības cena iepriekšminētajā laika periodā sasniedza 0,0659 EUR/</w:t>
      </w:r>
      <w:proofErr w:type="spellStart"/>
      <w:r w:rsidRPr="00C15715">
        <w:rPr>
          <w:rFonts w:cstheme="minorHAnsi"/>
          <w:szCs w:val="24"/>
        </w:rPr>
        <w:t>kWh</w:t>
      </w:r>
      <w:proofErr w:type="spellEnd"/>
      <w:r w:rsidRPr="00C15715">
        <w:rPr>
          <w:rFonts w:cstheme="minorHAnsi"/>
          <w:szCs w:val="24"/>
        </w:rPr>
        <w:t xml:space="preserve">. </w:t>
      </w:r>
    </w:p>
    <w:p w14:paraId="338792AB" w14:textId="77777777" w:rsidR="001121B4" w:rsidRDefault="00D87276" w:rsidP="00D87276">
      <w:pPr>
        <w:spacing w:before="120" w:after="120" w:line="240" w:lineRule="auto"/>
        <w:jc w:val="both"/>
        <w:rPr>
          <w:rFonts w:cstheme="minorHAnsi"/>
          <w:szCs w:val="24"/>
        </w:rPr>
      </w:pPr>
      <w:r w:rsidRPr="00C15715">
        <w:rPr>
          <w:rFonts w:cstheme="minorHAnsi"/>
          <w:szCs w:val="24"/>
        </w:rPr>
        <w:t>Dabasgāzes vairumtirdzniecības cenas attiecas uz sistēmas lietotāju, kura patēriņa apjoms ir lielāks par 25 tūkst.m</w:t>
      </w:r>
      <w:r w:rsidRPr="00C15715">
        <w:rPr>
          <w:rFonts w:cstheme="minorHAnsi"/>
          <w:szCs w:val="24"/>
          <w:vertAlign w:val="superscript"/>
        </w:rPr>
        <w:t>3</w:t>
      </w:r>
      <w:r w:rsidRPr="00C15715">
        <w:rPr>
          <w:rFonts w:cstheme="minorHAnsi"/>
          <w:szCs w:val="24"/>
        </w:rPr>
        <w:t xml:space="preserve"> dabasgāzes gadā. Latvijas dabasgāzes cenas lielajiem patērētājiem, kuri nav mājsaimniecības, kopumā ir zem ES vidējā cenu līmeņa. Laika periodā no 2013.gada līdz 2017.gada beigām, Latvijas lielie patērētāji vidēji maksāja 0,0456 EUR/</w:t>
      </w:r>
      <w:proofErr w:type="spellStart"/>
      <w:r w:rsidRPr="00C15715">
        <w:rPr>
          <w:rFonts w:cstheme="minorHAnsi"/>
          <w:szCs w:val="24"/>
        </w:rPr>
        <w:t>kWh</w:t>
      </w:r>
      <w:proofErr w:type="spellEnd"/>
      <w:r w:rsidRPr="00C15715">
        <w:rPr>
          <w:rFonts w:cstheme="minorHAnsi"/>
          <w:szCs w:val="24"/>
        </w:rPr>
        <w:t>, kas ir nedaudz vairāk kā vidēji Igaunijā (0,0433 EUR/</w:t>
      </w:r>
      <w:proofErr w:type="spellStart"/>
      <w:r w:rsidRPr="00C15715">
        <w:rPr>
          <w:rFonts w:cstheme="minorHAnsi"/>
          <w:szCs w:val="24"/>
        </w:rPr>
        <w:t>kWh</w:t>
      </w:r>
      <w:proofErr w:type="spellEnd"/>
      <w:r w:rsidRPr="00C15715">
        <w:rPr>
          <w:rFonts w:cstheme="minorHAnsi"/>
          <w:szCs w:val="24"/>
        </w:rPr>
        <w:t>), bet mazāk kā vidēji Lietuvā (0,0469 EUR/</w:t>
      </w:r>
      <w:proofErr w:type="spellStart"/>
      <w:r w:rsidRPr="00C15715">
        <w:rPr>
          <w:rFonts w:cstheme="minorHAnsi"/>
          <w:szCs w:val="24"/>
        </w:rPr>
        <w:t>kWh</w:t>
      </w:r>
      <w:proofErr w:type="spellEnd"/>
      <w:r w:rsidRPr="00C15715">
        <w:rPr>
          <w:rFonts w:cstheme="minorHAnsi"/>
          <w:szCs w:val="24"/>
        </w:rPr>
        <w:t>), un ES kopā, kur vidējā vairumtirdzniecības cena no 2013.gada līdz 2017.gada noslēgumam ir 0,0659 EUR/</w:t>
      </w:r>
      <w:proofErr w:type="spellStart"/>
      <w:r w:rsidRPr="00C15715">
        <w:rPr>
          <w:rFonts w:cstheme="minorHAnsi"/>
          <w:szCs w:val="24"/>
        </w:rPr>
        <w:t>kWh</w:t>
      </w:r>
      <w:proofErr w:type="spellEnd"/>
      <w:r w:rsidRPr="00C15715">
        <w:rPr>
          <w:rFonts w:cstheme="minorHAnsi"/>
          <w:szCs w:val="24"/>
        </w:rPr>
        <w:t xml:space="preserve">. </w:t>
      </w:r>
    </w:p>
    <w:p w14:paraId="7312702D" w14:textId="77777777" w:rsidR="001121B4" w:rsidRPr="00C15715" w:rsidRDefault="001121B4" w:rsidP="001121B4">
      <w:pPr>
        <w:spacing w:before="120" w:after="120" w:line="240" w:lineRule="auto"/>
        <w:jc w:val="center"/>
        <w:rPr>
          <w:rFonts w:cstheme="minorHAnsi"/>
          <w:szCs w:val="24"/>
        </w:rPr>
      </w:pPr>
      <w:r w:rsidRPr="00C15715">
        <w:rPr>
          <w:rFonts w:cstheme="minorHAnsi"/>
          <w:noProof/>
          <w:szCs w:val="24"/>
          <w:lang w:eastAsia="lv-LV"/>
        </w:rPr>
        <w:drawing>
          <wp:inline distT="0" distB="0" distL="0" distR="0" wp14:anchorId="64B79409" wp14:editId="71B7099D">
            <wp:extent cx="4289304" cy="282576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5387" cy="2829776"/>
                    </a:xfrm>
                    <a:prstGeom prst="rect">
                      <a:avLst/>
                    </a:prstGeom>
                    <a:noFill/>
                    <a:ln w="3175">
                      <a:noFill/>
                    </a:ln>
                  </pic:spPr>
                </pic:pic>
              </a:graphicData>
            </a:graphic>
          </wp:inline>
        </w:drawing>
      </w:r>
    </w:p>
    <w:p w14:paraId="2566682F" w14:textId="4EB10E42" w:rsidR="001121B4" w:rsidRPr="00C15715" w:rsidRDefault="001121B4" w:rsidP="001121B4">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r>
        <w:rPr>
          <w:rFonts w:asciiTheme="minorHAnsi" w:hAnsiTheme="minorHAnsi" w:cstheme="minorHAnsi"/>
          <w:noProof/>
          <w:szCs w:val="24"/>
        </w:rPr>
        <w:t>23</w:t>
      </w:r>
      <w:r w:rsidRPr="00C15715">
        <w:rPr>
          <w:rFonts w:asciiTheme="minorHAnsi" w:hAnsiTheme="minorHAnsi" w:cstheme="minorHAnsi"/>
          <w:szCs w:val="24"/>
        </w:rPr>
        <w:fldChar w:fldCharType="end"/>
      </w:r>
      <w:r w:rsidRPr="00C15715">
        <w:rPr>
          <w:rFonts w:asciiTheme="minorHAnsi" w:hAnsiTheme="minorHAnsi" w:cstheme="minorHAnsi"/>
        </w:rPr>
        <w:t xml:space="preserve">.attēls. Dabasgāzes cenu izmaiņas patērētājiem, kuri nav mājsaimniecības, EUR par </w:t>
      </w:r>
      <w:proofErr w:type="spellStart"/>
      <w:r w:rsidRPr="00C15715">
        <w:rPr>
          <w:rFonts w:asciiTheme="minorHAnsi" w:hAnsiTheme="minorHAnsi" w:cstheme="minorHAnsi"/>
        </w:rPr>
        <w:t>kWh</w:t>
      </w:r>
      <w:proofErr w:type="spellEnd"/>
      <w:r w:rsidRPr="00C15715">
        <w:rPr>
          <w:rFonts w:asciiTheme="minorHAnsi" w:hAnsiTheme="minorHAnsi" w:cstheme="minorHAnsi"/>
        </w:rPr>
        <w:t xml:space="preserve"> (pusgadā)</w:t>
      </w:r>
      <w:r w:rsidRPr="00C15715">
        <w:rPr>
          <w:rFonts w:asciiTheme="minorHAnsi" w:hAnsiTheme="minorHAnsi" w:cstheme="minorHAnsi"/>
          <w:vertAlign w:val="superscript"/>
        </w:rPr>
        <w:footnoteReference w:id="37"/>
      </w:r>
    </w:p>
    <w:p w14:paraId="28CE9AC3" w14:textId="2A86311A" w:rsidR="00D87276" w:rsidRPr="00C15715" w:rsidRDefault="00D87276" w:rsidP="00D87276">
      <w:pPr>
        <w:spacing w:before="120" w:after="120" w:line="240" w:lineRule="auto"/>
        <w:jc w:val="both"/>
        <w:rPr>
          <w:rFonts w:cstheme="minorHAnsi"/>
          <w:szCs w:val="24"/>
        </w:rPr>
      </w:pPr>
      <w:r w:rsidRPr="00C15715">
        <w:rPr>
          <w:rFonts w:cstheme="minorHAnsi"/>
          <w:szCs w:val="24"/>
        </w:rPr>
        <w:t>Latvija 2017.gadu ir noslēgusi ar vienu no zemākajām dabasgāzes vairumtirdzniecības cenām ES – 17,11 EUR par megavatstundu 2017.gada 4.ceturksnī, kas ir zemākā cena visā Baltijas jūras reģionā</w:t>
      </w:r>
      <w:r w:rsidR="001121B4" w:rsidRPr="00C15715">
        <w:rPr>
          <w:rStyle w:val="FootnoteReference"/>
          <w:rFonts w:cstheme="minorHAnsi"/>
        </w:rPr>
        <w:footnoteReference w:id="38"/>
      </w:r>
      <w:r w:rsidRPr="00C15715">
        <w:rPr>
          <w:rFonts w:cstheme="minorHAnsi"/>
          <w:szCs w:val="24"/>
        </w:rPr>
        <w:t xml:space="preserve">. </w:t>
      </w:r>
      <w:r w:rsidRPr="00C15715">
        <w:rPr>
          <w:rFonts w:cstheme="minorHAnsi"/>
        </w:rPr>
        <w:t>2017.gadā vidējā dabasgāzes tirdzniecības cena Latvijā bija par 2,60 EUR/</w:t>
      </w:r>
      <w:proofErr w:type="spellStart"/>
      <w:r w:rsidRPr="00C15715">
        <w:rPr>
          <w:rFonts w:cstheme="minorHAnsi"/>
        </w:rPr>
        <w:t>MWh</w:t>
      </w:r>
      <w:proofErr w:type="spellEnd"/>
      <w:r w:rsidRPr="00C15715">
        <w:rPr>
          <w:rFonts w:cstheme="minorHAnsi"/>
        </w:rPr>
        <w:t xml:space="preserve"> augstāka nekā 2016. gadā.</w:t>
      </w:r>
      <w:r w:rsidR="001121B4">
        <w:rPr>
          <w:rFonts w:cstheme="minorHAnsi"/>
        </w:rPr>
        <w:t xml:space="preserve"> </w:t>
      </w:r>
      <w:r w:rsidRPr="00C15715">
        <w:rPr>
          <w:rFonts w:cstheme="minorHAnsi"/>
        </w:rPr>
        <w:t xml:space="preserve">Tiek prognozēts, ka dabasgāzes cena turpinās kāpt. Vācijas </w:t>
      </w:r>
      <w:proofErr w:type="spellStart"/>
      <w:r w:rsidRPr="00C15715">
        <w:rPr>
          <w:rFonts w:cstheme="minorHAnsi"/>
        </w:rPr>
        <w:t>Gaspool</w:t>
      </w:r>
      <w:proofErr w:type="spellEnd"/>
      <w:r w:rsidRPr="00C15715">
        <w:rPr>
          <w:rFonts w:cstheme="minorHAnsi"/>
        </w:rPr>
        <w:t xml:space="preserve"> biržā dabasgāzes cena 2018. gada augustā bija par 5,20 EUR/</w:t>
      </w:r>
      <w:proofErr w:type="spellStart"/>
      <w:r w:rsidRPr="00C15715">
        <w:rPr>
          <w:rFonts w:cstheme="minorHAnsi"/>
        </w:rPr>
        <w:t>MWh</w:t>
      </w:r>
      <w:proofErr w:type="spellEnd"/>
      <w:r w:rsidRPr="00C15715">
        <w:rPr>
          <w:rFonts w:cstheme="minorHAnsi"/>
        </w:rPr>
        <w:t xml:space="preserve"> augstāka nekā 2017. gada janvārī, savukārt Nīderlandes </w:t>
      </w:r>
      <w:proofErr w:type="spellStart"/>
      <w:r w:rsidRPr="00C15715">
        <w:rPr>
          <w:rFonts w:cstheme="minorHAnsi"/>
        </w:rPr>
        <w:t>Title</w:t>
      </w:r>
      <w:proofErr w:type="spellEnd"/>
      <w:r w:rsidRPr="00C15715">
        <w:rPr>
          <w:rFonts w:cstheme="minorHAnsi"/>
        </w:rPr>
        <w:t xml:space="preserve"> </w:t>
      </w:r>
      <w:proofErr w:type="spellStart"/>
      <w:r w:rsidRPr="00C15715">
        <w:rPr>
          <w:rFonts w:cstheme="minorHAnsi"/>
        </w:rPr>
        <w:t>Transfer</w:t>
      </w:r>
      <w:proofErr w:type="spellEnd"/>
      <w:r w:rsidRPr="00C15715">
        <w:rPr>
          <w:rFonts w:cstheme="minorHAnsi"/>
        </w:rPr>
        <w:t xml:space="preserve"> </w:t>
      </w:r>
      <w:proofErr w:type="spellStart"/>
      <w:r w:rsidRPr="00C15715">
        <w:rPr>
          <w:rFonts w:cstheme="minorHAnsi"/>
        </w:rPr>
        <w:t>Facility</w:t>
      </w:r>
      <w:proofErr w:type="spellEnd"/>
      <w:r w:rsidRPr="00C15715">
        <w:rPr>
          <w:rFonts w:cstheme="minorHAnsi"/>
        </w:rPr>
        <w:t xml:space="preserve"> (TTF) biržā cena pieaugusi par 4,73 EUR/</w:t>
      </w:r>
      <w:proofErr w:type="spellStart"/>
      <w:r w:rsidRPr="00C15715">
        <w:rPr>
          <w:rFonts w:cstheme="minorHAnsi"/>
        </w:rPr>
        <w:t>MWh</w:t>
      </w:r>
      <w:proofErr w:type="spellEnd"/>
      <w:r w:rsidRPr="00C15715">
        <w:rPr>
          <w:rFonts w:cstheme="minorHAnsi"/>
        </w:rPr>
        <w:t xml:space="preserve">. </w:t>
      </w:r>
    </w:p>
    <w:p w14:paraId="330B07C6" w14:textId="77777777" w:rsidR="00D87276" w:rsidRPr="00C15715" w:rsidRDefault="00D87276" w:rsidP="00D87276">
      <w:pPr>
        <w:spacing w:before="120" w:after="120" w:line="240" w:lineRule="auto"/>
        <w:jc w:val="center"/>
        <w:rPr>
          <w:rFonts w:cstheme="minorHAnsi"/>
          <w:color w:val="FF0000"/>
          <w:szCs w:val="24"/>
        </w:rPr>
      </w:pPr>
      <w:r w:rsidRPr="00C15715">
        <w:rPr>
          <w:rFonts w:cstheme="minorHAnsi"/>
          <w:noProof/>
          <w:color w:val="FF0000"/>
          <w:szCs w:val="24"/>
          <w:lang w:eastAsia="lv-LV"/>
        </w:rPr>
        <w:lastRenderedPageBreak/>
        <w:drawing>
          <wp:inline distT="0" distB="0" distL="0" distR="0" wp14:anchorId="19DAE403" wp14:editId="106939C0">
            <wp:extent cx="4465809" cy="255709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5107" cy="2562420"/>
                    </a:xfrm>
                    <a:prstGeom prst="rect">
                      <a:avLst/>
                    </a:prstGeom>
                    <a:noFill/>
                    <a:ln>
                      <a:noFill/>
                    </a:ln>
                  </pic:spPr>
                </pic:pic>
              </a:graphicData>
            </a:graphic>
          </wp:inline>
        </w:drawing>
      </w:r>
    </w:p>
    <w:p w14:paraId="493604DB" w14:textId="7532049B" w:rsidR="00D87276" w:rsidRPr="00C15715" w:rsidRDefault="00D87276" w:rsidP="00D87276">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r w:rsidR="001121B4">
        <w:rPr>
          <w:rFonts w:asciiTheme="minorHAnsi" w:hAnsiTheme="minorHAnsi" w:cstheme="minorHAnsi"/>
          <w:noProof/>
        </w:rPr>
        <w:t>24</w:t>
      </w:r>
      <w:r w:rsidRPr="00C15715">
        <w:rPr>
          <w:rFonts w:asciiTheme="minorHAnsi" w:hAnsiTheme="minorHAnsi" w:cstheme="minorHAnsi"/>
          <w:noProof/>
        </w:rPr>
        <w:fldChar w:fldCharType="end"/>
      </w:r>
      <w:r w:rsidRPr="00C15715">
        <w:rPr>
          <w:rFonts w:asciiTheme="minorHAnsi" w:hAnsiTheme="minorHAnsi" w:cstheme="minorHAnsi"/>
        </w:rPr>
        <w:t>.attēls. Indikatīvās dabasgāzes tirdzniecības vidējās cenas un cenu diapazoni saskaņā ar notikušiem iepirkumiem juridiskajām personām</w:t>
      </w:r>
      <w:r w:rsidRPr="00C15715">
        <w:rPr>
          <w:rStyle w:val="FootnoteReference"/>
          <w:rFonts w:asciiTheme="minorHAnsi" w:hAnsiTheme="minorHAnsi" w:cstheme="minorHAnsi"/>
        </w:rPr>
        <w:footnoteReference w:id="39"/>
      </w:r>
    </w:p>
    <w:p w14:paraId="19E863F0" w14:textId="77777777" w:rsidR="00D87276" w:rsidRPr="00C15715" w:rsidRDefault="00D87276" w:rsidP="00C87757">
      <w:pPr>
        <w:pStyle w:val="Heading4"/>
      </w:pPr>
      <w:r w:rsidRPr="00C15715">
        <w:t>Attīstības prognozes</w:t>
      </w:r>
    </w:p>
    <w:p w14:paraId="034EA736" w14:textId="17107AB3" w:rsidR="00D87276" w:rsidRPr="00C15715" w:rsidRDefault="00D87276" w:rsidP="00C87757">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Tā kā Latvijā patērētā elektroenerģija tiek pirkta Nord </w:t>
      </w:r>
      <w:proofErr w:type="spellStart"/>
      <w:r w:rsidRPr="00C15715">
        <w:rPr>
          <w:rFonts w:asciiTheme="minorHAnsi" w:hAnsiTheme="minorHAnsi" w:cstheme="minorHAnsi"/>
        </w:rPr>
        <w:t>Pool</w:t>
      </w:r>
      <w:proofErr w:type="spellEnd"/>
      <w:r w:rsidRPr="00C15715">
        <w:rPr>
          <w:rFonts w:asciiTheme="minorHAnsi" w:hAnsiTheme="minorHAnsi" w:cstheme="minorHAnsi"/>
        </w:rPr>
        <w:t xml:space="preserve"> vairumtirdzniecības biržā, Baltijas un Ziemeļvalstu elektroenerģijas tirgus ir ļoti saistīts. Līdz ar vispārējo energoresursu (naftas, dabasgāzes, ogļu) cenu pieaugumu pasaulē, kā arī </w:t>
      </w:r>
      <w:r w:rsidR="0018794B">
        <w:rPr>
          <w:rFonts w:asciiTheme="minorHAnsi" w:hAnsiTheme="minorHAnsi" w:cstheme="minorHAnsi"/>
        </w:rPr>
        <w:t xml:space="preserve">emisijas </w:t>
      </w:r>
      <w:r w:rsidRPr="00C15715">
        <w:rPr>
          <w:rFonts w:asciiTheme="minorHAnsi" w:hAnsiTheme="minorHAnsi" w:cstheme="minorHAnsi"/>
        </w:rPr>
        <w:t xml:space="preserve">kvotu cenas pieaugumu, elektroenerģijas cena gada laikā būtiski pieaugusi </w:t>
      </w:r>
      <w:r w:rsidR="0018794B">
        <w:rPr>
          <w:rFonts w:asciiTheme="minorHAnsi" w:hAnsiTheme="minorHAnsi" w:cstheme="minorHAnsi"/>
        </w:rPr>
        <w:t>gan Ziemeļvalstīs, gan Baltijas valstīs</w:t>
      </w:r>
      <w:r w:rsidRPr="00C15715">
        <w:rPr>
          <w:rFonts w:asciiTheme="minorHAnsi" w:hAnsiTheme="minorHAnsi" w:cstheme="minorHAnsi"/>
        </w:rPr>
        <w:t>. Ziemeļvalstīs kopš pērnā gada augusta cenas pieaugušas par 88 %, Igaunijā par 52 %, Latvijā – par 58 %. Elektroenerģijas tirgus cena 2019. gadā varētu palikt nemainīga. Tomēr svarīgi, kādi būs turpmākie laikapstākļi gan Skandināvijas valstīs, gan Latvijā.</w:t>
      </w:r>
    </w:p>
    <w:p w14:paraId="374BF4AA" w14:textId="77777777" w:rsidR="00D87276" w:rsidRPr="00C15715" w:rsidRDefault="00D87276" w:rsidP="00D87276">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Tiek prognozēts, ka cenas </w:t>
      </w:r>
      <w:proofErr w:type="spellStart"/>
      <w:r w:rsidRPr="00C15715">
        <w:rPr>
          <w:rFonts w:asciiTheme="minorHAnsi" w:hAnsiTheme="minorHAnsi" w:cstheme="minorHAnsi"/>
        </w:rPr>
        <w:t>Gaspool</w:t>
      </w:r>
      <w:proofErr w:type="spellEnd"/>
      <w:r w:rsidRPr="00C15715">
        <w:rPr>
          <w:rFonts w:asciiTheme="minorHAnsi" w:hAnsiTheme="minorHAnsi" w:cstheme="minorHAnsi"/>
        </w:rPr>
        <w:t xml:space="preserve"> un TTF biržās turpinās kāpt. Attiecīgi dabasgāze varētu kļūt dārgāka arī Latvijā. Nākotnē dabasgāzes cenas ietekmēs daudzi savstarpēji saistīti faktori, tostarp dabasgāzes cenu svārstības biržās un ģeopolitiskie notikumi pasaulē. Vienlaikus jāuzsver, ka pirms tirgus atvēršanas Latvijā dabasgāzes cenas bija būtiski augstākas nekā </w:t>
      </w:r>
      <w:proofErr w:type="spellStart"/>
      <w:r w:rsidRPr="00C15715">
        <w:rPr>
          <w:rFonts w:asciiTheme="minorHAnsi" w:hAnsiTheme="minorHAnsi" w:cstheme="minorHAnsi"/>
        </w:rPr>
        <w:t>Gaspool</w:t>
      </w:r>
      <w:proofErr w:type="spellEnd"/>
      <w:r w:rsidRPr="00C15715">
        <w:rPr>
          <w:rFonts w:asciiTheme="minorHAnsi" w:hAnsiTheme="minorHAnsi" w:cstheme="minorHAnsi"/>
        </w:rPr>
        <w:t xml:space="preserve"> un TTF biržās.</w:t>
      </w:r>
    </w:p>
    <w:p w14:paraId="77F5E636" w14:textId="77777777" w:rsidR="00D87276" w:rsidRPr="00C15715" w:rsidRDefault="00D87276" w:rsidP="00D87276">
      <w:pPr>
        <w:pStyle w:val="Heading30"/>
      </w:pPr>
      <w:r w:rsidRPr="00C15715">
        <w:t>Enerģētiskā nabadzība un enerģētiskā pieejamība</w:t>
      </w:r>
    </w:p>
    <w:p w14:paraId="2F8D9842" w14:textId="77777777" w:rsidR="00D87276" w:rsidRPr="00C15715" w:rsidRDefault="00D87276" w:rsidP="00D87276">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Enerģētiskā nabadzība ir īpašs nabadzības veids, kas saistīts ar virkni nelabvēlīgu ietekmju uz cilvēku veselību un labklājību, piemēram, ar elpceļu un sirds slimībām un garīgo veselību, kas saasinās zemas temperatūras un stresa dēļ, kas saistīts ar rēķiniem par gāzes, siltuma un elektroenerģiju, kurus iedzīvotāji nevar atļauties apmaksāt. Enerģētiskajai nabadzībai ir netieša ietekme uz vairākiem mājsaimniecību un iedzīvotāju labklājību raksturojošiem dzīves kvalitātes rādītājiem, ieskaitot veselību, vidi un produktivitāti. </w:t>
      </w:r>
    </w:p>
    <w:p w14:paraId="6616F284" w14:textId="77777777" w:rsidR="00D87276" w:rsidRPr="00C15715" w:rsidRDefault="00D87276" w:rsidP="00D87276">
      <w:pPr>
        <w:spacing w:before="120" w:after="120" w:line="240" w:lineRule="auto"/>
        <w:jc w:val="both"/>
        <w:rPr>
          <w:rFonts w:cstheme="minorHAnsi"/>
        </w:rPr>
      </w:pPr>
      <w:r w:rsidRPr="00C15715">
        <w:rPr>
          <w:rFonts w:cstheme="minorHAnsi"/>
        </w:rPr>
        <w:t xml:space="preserve">2017.gadā siltuma nodrošināšana mājoklī naudas trūkuma dēļ bija liegta </w:t>
      </w:r>
      <w:r w:rsidRPr="00C15715">
        <w:rPr>
          <w:rFonts w:cstheme="minorHAnsi"/>
          <w:shd w:val="clear" w:color="auto" w:fill="FFFFFF"/>
        </w:rPr>
        <w:t xml:space="preserve"> 9,7%, bet 2018.gadā – 7,5%</w:t>
      </w:r>
      <w:r w:rsidRPr="00C15715">
        <w:rPr>
          <w:rStyle w:val="FootnoteReference"/>
          <w:rFonts w:cstheme="minorHAnsi"/>
          <w:shd w:val="clear" w:color="auto" w:fill="FFFFFF"/>
        </w:rPr>
        <w:footnoteReference w:id="40"/>
      </w:r>
      <w:r w:rsidRPr="00C15715">
        <w:rPr>
          <w:rFonts w:cstheme="minorHAnsi"/>
        </w:rPr>
        <w:t xml:space="preserve">. Latvijā šis rādītājs 2017.gadā šis rādītājs bija sliktāks kā vidēji Eiropas Savienībā, kur vidēji šādas problēmas ir 7,8% iedzīvotāju, bet 2018.gadā šis rādītājs Latvijā ir labāks kā Eiropas Savienības vidējais rādītājs – 8%. Šis rādītājs kopumā ir uzlabojies periodā no 2005.gada, tomēr būtiski pasliktinājās 2009.-2011.g. periodā ekonomiskās lejupslīdes rezultātā, kur 2009.gadā šis rādītājs jau sasniedz 18% un 2013.gadā – 21%. </w:t>
      </w:r>
      <w:r w:rsidRPr="00C15715">
        <w:rPr>
          <w:rFonts w:cstheme="minorHAnsi"/>
          <w:szCs w:val="24"/>
          <w:shd w:val="clear" w:color="auto" w:fill="FFFFFF"/>
        </w:rPr>
        <w:t xml:space="preserve">Enerģētiskā nabadzība Latvijā ir īpaša </w:t>
      </w:r>
      <w:r w:rsidRPr="00C15715">
        <w:rPr>
          <w:rFonts w:cstheme="minorHAnsi"/>
          <w:szCs w:val="24"/>
          <w:shd w:val="clear" w:color="auto" w:fill="FFFFFF"/>
        </w:rPr>
        <w:lastRenderedPageBreak/>
        <w:t>problēma mājsaimniecībām, kas dzīvo sociālajās māsās / dzīvokļos, kur šis rādītājs 2017.gadā gandrīz sasniedz 21%.</w:t>
      </w:r>
    </w:p>
    <w:p w14:paraId="1962AA4A" w14:textId="77777777" w:rsidR="00D87276" w:rsidRPr="00C15715" w:rsidRDefault="00D87276" w:rsidP="00D87276">
      <w:pPr>
        <w:spacing w:before="120" w:after="120" w:line="240" w:lineRule="auto"/>
        <w:jc w:val="both"/>
        <w:rPr>
          <w:rFonts w:cstheme="minorHAnsi"/>
          <w:sz w:val="22"/>
          <w:shd w:val="clear" w:color="auto" w:fill="FFFFFF"/>
        </w:rPr>
      </w:pPr>
      <w:r w:rsidRPr="00C15715">
        <w:rPr>
          <w:rFonts w:cstheme="minorHAnsi"/>
          <w:shd w:val="clear" w:color="auto" w:fill="FFFFFF"/>
        </w:rPr>
        <w:t>Šos rādītājus ir iespējams arī vērtēt ne tikai no visu iedzīvotāju īpatsvara, bet arī no nabadzības riskam pakļauto iedzīvotāju īpatsvara, ņemot vērā pašu mērķi. 2016.gadā no nabadzības riskam pakļautajiem iedzīvotājiem 22,7% naudas trūkuma dēļ nevarēja atļauties uzturēt siltu mājokli</w:t>
      </w:r>
      <w:r w:rsidRPr="00C15715">
        <w:rPr>
          <w:rStyle w:val="FootnoteReference"/>
          <w:rFonts w:cstheme="minorHAnsi"/>
          <w:shd w:val="clear" w:color="auto" w:fill="FFFFFF"/>
        </w:rPr>
        <w:footnoteReference w:id="41"/>
      </w:r>
      <w:r w:rsidRPr="00C15715">
        <w:rPr>
          <w:rFonts w:cstheme="minorHAnsi"/>
          <w:shd w:val="clear" w:color="auto" w:fill="FFFFFF"/>
        </w:rPr>
        <w:t xml:space="preserve">, kas ir vairāk kā divas reizes lielāks nekā no kopējā iedzīvotāju skaita. Turklāt situācija ir atšķirīga, ja analizē noteiktus mājsaimniecību veidus, kur dažiem mājsaimniecību veidiem parādās arī būtiskās atšķirības starp ES-28 rādītāju. </w:t>
      </w:r>
    </w:p>
    <w:p w14:paraId="792BA7C7" w14:textId="61179026" w:rsidR="00D87276" w:rsidRPr="00C15715" w:rsidRDefault="00D87276" w:rsidP="00D87276">
      <w:pPr>
        <w:pStyle w:val="Caption"/>
        <w:rPr>
          <w:rFonts w:asciiTheme="minorHAnsi" w:hAnsiTheme="minorHAnsi" w:cstheme="minorHAnsi"/>
          <w:i/>
          <w:shd w:val="clear" w:color="auto" w:fill="FFFFFF"/>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1121B4">
        <w:rPr>
          <w:rFonts w:asciiTheme="minorHAnsi" w:hAnsiTheme="minorHAnsi" w:cstheme="minorHAnsi"/>
          <w:noProof/>
        </w:rPr>
        <w:t>7</w:t>
      </w:r>
      <w:r w:rsidRPr="00C15715">
        <w:rPr>
          <w:rFonts w:asciiTheme="minorHAnsi" w:hAnsiTheme="minorHAnsi" w:cstheme="minorHAnsi"/>
          <w:noProof/>
        </w:rPr>
        <w:fldChar w:fldCharType="end"/>
      </w:r>
      <w:r w:rsidRPr="00C15715">
        <w:rPr>
          <w:rFonts w:asciiTheme="minorHAnsi" w:hAnsiTheme="minorHAnsi" w:cstheme="minorHAnsi"/>
        </w:rPr>
        <w:t>.tabula. Mājsaimniecības, kuras naudas trūkuma dēļ nevarēja atļauties uzturēt siltu mājokli</w:t>
      </w:r>
      <w:r w:rsidRPr="00C15715">
        <w:rPr>
          <w:rFonts w:asciiTheme="minorHAnsi" w:hAnsiTheme="minorHAnsi" w:cstheme="minorHAnsi"/>
          <w:i/>
          <w:iCs w:val="0"/>
          <w:shd w:val="clear" w:color="auto" w:fill="FFFFFF"/>
        </w:rPr>
        <w:t xml:space="preserve"> (%)</w:t>
      </w:r>
      <w:r w:rsidRPr="00C15715">
        <w:rPr>
          <w:rStyle w:val="FootnoteReference"/>
          <w:rFonts w:asciiTheme="minorHAnsi" w:hAnsiTheme="minorHAnsi" w:cstheme="minorHAnsi"/>
          <w:i/>
          <w:iCs w:val="0"/>
          <w:shd w:val="clear" w:color="auto" w:fill="FFFFFF"/>
        </w:rPr>
        <w:footnoteReference w:id="42"/>
      </w:r>
    </w:p>
    <w:tbl>
      <w:tblPr>
        <w:tblW w:w="10206" w:type="dxa"/>
        <w:jc w:val="center"/>
        <w:tblLayout w:type="fixed"/>
        <w:tblLook w:val="04A0" w:firstRow="1" w:lastRow="0" w:firstColumn="1" w:lastColumn="0" w:noHBand="0" w:noVBand="1"/>
      </w:tblPr>
      <w:tblGrid>
        <w:gridCol w:w="709"/>
        <w:gridCol w:w="850"/>
        <w:gridCol w:w="790"/>
        <w:gridCol w:w="756"/>
        <w:gridCol w:w="756"/>
        <w:gridCol w:w="756"/>
        <w:gridCol w:w="910"/>
        <w:gridCol w:w="756"/>
        <w:gridCol w:w="663"/>
        <w:gridCol w:w="1006"/>
        <w:gridCol w:w="695"/>
        <w:gridCol w:w="708"/>
        <w:gridCol w:w="851"/>
      </w:tblGrid>
      <w:tr w:rsidR="00D87276" w:rsidRPr="00C15715" w14:paraId="5F96A127" w14:textId="77777777" w:rsidTr="00F97BC0">
        <w:trPr>
          <w:trHeight w:val="10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AD087C3" w14:textId="77777777" w:rsidR="00D87276" w:rsidRPr="00C15715" w:rsidRDefault="00D87276" w:rsidP="00F97BC0">
            <w:pPr>
              <w:spacing w:after="0" w:line="240" w:lineRule="auto"/>
              <w:jc w:val="center"/>
              <w:rPr>
                <w:rFonts w:eastAsia="Times New Roman" w:cstheme="minorHAnsi"/>
                <w:b/>
                <w:bCs/>
                <w:color w:val="000000"/>
                <w:sz w:val="20"/>
                <w:szCs w:val="20"/>
                <w:lang w:eastAsia="lv-LV"/>
              </w:rPr>
            </w:pPr>
          </w:p>
        </w:tc>
        <w:tc>
          <w:tcPr>
            <w:tcW w:w="1640" w:type="dxa"/>
            <w:gridSpan w:val="2"/>
            <w:tcBorders>
              <w:top w:val="single" w:sz="4" w:space="0" w:color="auto"/>
              <w:left w:val="nil"/>
              <w:bottom w:val="single" w:sz="4" w:space="0" w:color="auto"/>
              <w:right w:val="single" w:sz="4" w:space="0" w:color="auto"/>
            </w:tcBorders>
            <w:shd w:val="clear" w:color="auto" w:fill="auto"/>
            <w:vAlign w:val="center"/>
            <w:hideMark/>
          </w:tcPr>
          <w:p w14:paraId="4CF51117" w14:textId="77777777" w:rsidR="00D87276" w:rsidRPr="00C15715" w:rsidRDefault="00D87276" w:rsidP="00F97BC0">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709D839B" w14:textId="77777777" w:rsidR="00D87276" w:rsidRPr="00C15715" w:rsidRDefault="00D87276" w:rsidP="00F97BC0">
            <w:pPr>
              <w:spacing w:after="0" w:line="240" w:lineRule="auto"/>
              <w:jc w:val="both"/>
              <w:rPr>
                <w:rFonts w:eastAsia="Times New Roman" w:cstheme="minorHAnsi"/>
                <w:sz w:val="20"/>
                <w:szCs w:val="20"/>
                <w:lang w:eastAsia="lv-LV"/>
              </w:rPr>
            </w:pPr>
            <w:proofErr w:type="spellStart"/>
            <w:r w:rsidRPr="00C15715">
              <w:rPr>
                <w:rFonts w:eastAsia="Times New Roman" w:cstheme="minorHAnsi"/>
                <w:sz w:val="20"/>
                <w:szCs w:val="20"/>
                <w:lang w:eastAsia="lv-LV"/>
              </w:rPr>
              <w:t>mājsaimn</w:t>
            </w:r>
            <w:proofErr w:type="spellEnd"/>
            <w:r w:rsidRPr="00C15715">
              <w:rPr>
                <w:rFonts w:eastAsia="Times New Roman" w:cstheme="minorHAnsi"/>
                <w:sz w:val="20"/>
                <w:szCs w:val="20"/>
                <w:lang w:eastAsia="lv-LV"/>
              </w:rPr>
              <w:t xml:space="preserve">. </w:t>
            </w:r>
          </w:p>
          <w:p w14:paraId="65CED2DC" w14:textId="77777777" w:rsidR="00D87276" w:rsidRPr="00C15715" w:rsidRDefault="00D87276" w:rsidP="00F97BC0">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14:paraId="4A7C1E02" w14:textId="77777777" w:rsidR="00D87276" w:rsidRPr="00C15715" w:rsidRDefault="00D87276" w:rsidP="00F97BC0">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1-personas</w:t>
            </w:r>
          </w:p>
          <w:p w14:paraId="169815A2" w14:textId="77777777" w:rsidR="00D87276" w:rsidRPr="00C15715" w:rsidRDefault="00D87276" w:rsidP="00F97BC0">
            <w:pPr>
              <w:spacing w:after="0" w:line="240" w:lineRule="auto"/>
              <w:rPr>
                <w:rFonts w:eastAsia="Times New Roman" w:cstheme="minorHAnsi"/>
                <w:sz w:val="20"/>
                <w:szCs w:val="20"/>
                <w:lang w:eastAsia="lv-LV"/>
              </w:rPr>
            </w:pPr>
            <w:proofErr w:type="spellStart"/>
            <w:r w:rsidRPr="00C15715">
              <w:rPr>
                <w:rFonts w:eastAsia="Times New Roman" w:cstheme="minorHAnsi"/>
                <w:sz w:val="20"/>
                <w:szCs w:val="20"/>
                <w:lang w:eastAsia="lv-LV"/>
              </w:rPr>
              <w:t>mājsaimn</w:t>
            </w:r>
            <w:proofErr w:type="spellEnd"/>
            <w:r w:rsidRPr="00C15715">
              <w:rPr>
                <w:rFonts w:eastAsia="Times New Roman" w:cstheme="minorHAnsi"/>
                <w:sz w:val="20"/>
                <w:szCs w:val="20"/>
                <w:lang w:eastAsia="lv-LV"/>
              </w:rPr>
              <w:t>.</w:t>
            </w:r>
          </w:p>
          <w:p w14:paraId="6382B8B3" w14:textId="77777777" w:rsidR="00D87276" w:rsidRPr="00C15715" w:rsidRDefault="00D87276" w:rsidP="00F97BC0">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(NRP</w:t>
            </w:r>
            <w:r w:rsidRPr="00C15715">
              <w:rPr>
                <w:rStyle w:val="FootnoteReference"/>
                <w:rFonts w:eastAsia="Times New Roman" w:cstheme="minorHAnsi"/>
                <w:sz w:val="20"/>
                <w:szCs w:val="20"/>
                <w:lang w:eastAsia="lv-LV"/>
              </w:rPr>
              <w:footnoteReference w:id="43"/>
            </w:r>
            <w:r w:rsidRPr="00C15715">
              <w:rPr>
                <w:rFonts w:eastAsia="Times New Roman" w:cstheme="minorHAnsi"/>
                <w:sz w:val="20"/>
                <w:szCs w:val="20"/>
                <w:lang w:eastAsia="lv-LV"/>
              </w:rPr>
              <w:t>)</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14:paraId="28F4847E" w14:textId="77777777" w:rsidR="00D87276" w:rsidRPr="00C15715" w:rsidRDefault="00D87276" w:rsidP="00F97BC0">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478BAAF7" w14:textId="77777777" w:rsidR="00D87276" w:rsidRPr="00C15715" w:rsidRDefault="00D87276" w:rsidP="00F97BC0">
            <w:pPr>
              <w:spacing w:after="0" w:line="240" w:lineRule="auto"/>
              <w:jc w:val="both"/>
              <w:rPr>
                <w:rFonts w:eastAsia="Times New Roman" w:cstheme="minorHAnsi"/>
                <w:sz w:val="20"/>
                <w:szCs w:val="20"/>
                <w:lang w:eastAsia="lv-LV"/>
              </w:rPr>
            </w:pPr>
            <w:proofErr w:type="spellStart"/>
            <w:r w:rsidRPr="00C15715">
              <w:rPr>
                <w:rFonts w:eastAsia="Times New Roman" w:cstheme="minorHAnsi"/>
                <w:sz w:val="20"/>
                <w:szCs w:val="20"/>
                <w:lang w:eastAsia="lv-LV"/>
              </w:rPr>
              <w:t>mājsaimn</w:t>
            </w:r>
            <w:proofErr w:type="spellEnd"/>
            <w:r w:rsidRPr="00C15715">
              <w:rPr>
                <w:rFonts w:eastAsia="Times New Roman" w:cstheme="minorHAnsi"/>
                <w:sz w:val="20"/>
                <w:szCs w:val="20"/>
                <w:lang w:eastAsia="lv-LV"/>
              </w:rPr>
              <w:t>. &gt;65g.</w:t>
            </w:r>
          </w:p>
          <w:p w14:paraId="542AB3B9" w14:textId="77777777" w:rsidR="00D87276" w:rsidRPr="00C15715" w:rsidRDefault="00D87276" w:rsidP="00F97BC0">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14:paraId="053DB2ED" w14:textId="77777777" w:rsidR="00D87276" w:rsidRPr="00C15715" w:rsidRDefault="00D87276" w:rsidP="00F97BC0">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 xml:space="preserve">1-personas </w:t>
            </w:r>
            <w:proofErr w:type="spellStart"/>
            <w:r w:rsidRPr="00C15715">
              <w:rPr>
                <w:rFonts w:eastAsia="Times New Roman" w:cstheme="minorHAnsi"/>
                <w:sz w:val="20"/>
                <w:szCs w:val="20"/>
                <w:lang w:eastAsia="lv-LV"/>
              </w:rPr>
              <w:t>mājsaimn</w:t>
            </w:r>
            <w:proofErr w:type="spellEnd"/>
            <w:r w:rsidRPr="00C15715">
              <w:rPr>
                <w:rFonts w:eastAsia="Times New Roman" w:cstheme="minorHAnsi"/>
                <w:sz w:val="20"/>
                <w:szCs w:val="20"/>
                <w:lang w:eastAsia="lv-LV"/>
              </w:rPr>
              <w:t>. &gt;65g. (NRP)</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2B05E519" w14:textId="77777777" w:rsidR="00D87276" w:rsidRPr="00C15715" w:rsidRDefault="00D87276" w:rsidP="00F97BC0">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2 apgādībā esošiem bērniem (NRP)</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1C32B000" w14:textId="77777777" w:rsidR="00D87276" w:rsidRPr="00C15715" w:rsidRDefault="00D87276" w:rsidP="00F97BC0">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3 apgādībā esošiem bērniem (NRP)</w:t>
            </w:r>
          </w:p>
        </w:tc>
      </w:tr>
      <w:tr w:rsidR="00D87276" w:rsidRPr="00C15715" w14:paraId="5ED2F540" w14:textId="77777777" w:rsidTr="00F97BC0">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B13501" w14:textId="77777777" w:rsidR="00D87276" w:rsidRPr="00C15715" w:rsidRDefault="00D87276" w:rsidP="00F97BC0">
            <w:pPr>
              <w:spacing w:after="0" w:line="240" w:lineRule="auto"/>
              <w:rPr>
                <w:rFonts w:eastAsia="Times New Roman" w:cstheme="minorHAnsi"/>
                <w:b/>
                <w:bCs/>
                <w:color w:val="000000"/>
                <w:sz w:val="20"/>
                <w:szCs w:val="20"/>
                <w:lang w:eastAsia="lv-LV"/>
              </w:rPr>
            </w:pPr>
          </w:p>
        </w:tc>
        <w:tc>
          <w:tcPr>
            <w:tcW w:w="850" w:type="dxa"/>
            <w:tcBorders>
              <w:top w:val="nil"/>
              <w:left w:val="nil"/>
              <w:bottom w:val="single" w:sz="4" w:space="0" w:color="auto"/>
              <w:right w:val="single" w:sz="4" w:space="0" w:color="auto"/>
            </w:tcBorders>
            <w:shd w:val="clear" w:color="auto" w:fill="auto"/>
            <w:vAlign w:val="center"/>
            <w:hideMark/>
          </w:tcPr>
          <w:p w14:paraId="194B270E"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90" w:type="dxa"/>
            <w:tcBorders>
              <w:top w:val="nil"/>
              <w:left w:val="nil"/>
              <w:bottom w:val="single" w:sz="4" w:space="0" w:color="auto"/>
              <w:right w:val="single" w:sz="4" w:space="0" w:color="auto"/>
            </w:tcBorders>
            <w:shd w:val="clear" w:color="auto" w:fill="auto"/>
            <w:vAlign w:val="center"/>
            <w:hideMark/>
          </w:tcPr>
          <w:p w14:paraId="732606B2"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14DBC6DD"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56" w:type="dxa"/>
            <w:tcBorders>
              <w:top w:val="nil"/>
              <w:left w:val="nil"/>
              <w:bottom w:val="single" w:sz="4" w:space="0" w:color="auto"/>
              <w:right w:val="single" w:sz="4" w:space="0" w:color="auto"/>
            </w:tcBorders>
            <w:shd w:val="clear" w:color="auto" w:fill="auto"/>
            <w:vAlign w:val="center"/>
            <w:hideMark/>
          </w:tcPr>
          <w:p w14:paraId="4E68CADA"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253ADA60"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910" w:type="dxa"/>
            <w:tcBorders>
              <w:top w:val="nil"/>
              <w:left w:val="nil"/>
              <w:bottom w:val="single" w:sz="4" w:space="0" w:color="auto"/>
              <w:right w:val="single" w:sz="4" w:space="0" w:color="auto"/>
            </w:tcBorders>
            <w:shd w:val="clear" w:color="auto" w:fill="auto"/>
            <w:vAlign w:val="center"/>
            <w:hideMark/>
          </w:tcPr>
          <w:p w14:paraId="5DD84BCC"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4DE0B06B"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63" w:type="dxa"/>
            <w:tcBorders>
              <w:top w:val="nil"/>
              <w:left w:val="nil"/>
              <w:bottom w:val="single" w:sz="4" w:space="0" w:color="auto"/>
              <w:right w:val="single" w:sz="4" w:space="0" w:color="auto"/>
            </w:tcBorders>
            <w:shd w:val="clear" w:color="auto" w:fill="auto"/>
            <w:vAlign w:val="center"/>
            <w:hideMark/>
          </w:tcPr>
          <w:p w14:paraId="3FDCD482"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1006" w:type="dxa"/>
            <w:tcBorders>
              <w:top w:val="nil"/>
              <w:left w:val="nil"/>
              <w:bottom w:val="single" w:sz="4" w:space="0" w:color="auto"/>
              <w:right w:val="single" w:sz="4" w:space="0" w:color="auto"/>
            </w:tcBorders>
            <w:shd w:val="clear" w:color="auto" w:fill="auto"/>
            <w:vAlign w:val="center"/>
            <w:hideMark/>
          </w:tcPr>
          <w:p w14:paraId="15D15EB0"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95" w:type="dxa"/>
            <w:tcBorders>
              <w:top w:val="nil"/>
              <w:left w:val="nil"/>
              <w:bottom w:val="single" w:sz="4" w:space="0" w:color="auto"/>
              <w:right w:val="single" w:sz="4" w:space="0" w:color="auto"/>
            </w:tcBorders>
            <w:shd w:val="clear" w:color="auto" w:fill="auto"/>
            <w:vAlign w:val="center"/>
            <w:hideMark/>
          </w:tcPr>
          <w:p w14:paraId="1C2A4927"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08" w:type="dxa"/>
            <w:tcBorders>
              <w:top w:val="nil"/>
              <w:left w:val="nil"/>
              <w:bottom w:val="single" w:sz="4" w:space="0" w:color="auto"/>
              <w:right w:val="single" w:sz="4" w:space="0" w:color="auto"/>
            </w:tcBorders>
            <w:shd w:val="clear" w:color="auto" w:fill="auto"/>
            <w:vAlign w:val="center"/>
            <w:hideMark/>
          </w:tcPr>
          <w:p w14:paraId="1D450E06"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851" w:type="dxa"/>
            <w:tcBorders>
              <w:top w:val="nil"/>
              <w:left w:val="nil"/>
              <w:bottom w:val="single" w:sz="4" w:space="0" w:color="auto"/>
              <w:right w:val="single" w:sz="4" w:space="0" w:color="auto"/>
            </w:tcBorders>
            <w:shd w:val="clear" w:color="auto" w:fill="auto"/>
            <w:vAlign w:val="center"/>
            <w:hideMark/>
          </w:tcPr>
          <w:p w14:paraId="7D37C023" w14:textId="77777777" w:rsidR="00D87276" w:rsidRPr="00C15715" w:rsidRDefault="00D87276" w:rsidP="00F97BC0">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r>
      <w:tr w:rsidR="00D87276" w:rsidRPr="00C15715" w14:paraId="2E40C33C" w14:textId="77777777" w:rsidTr="00F97BC0">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5E177FE0" w14:textId="77777777" w:rsidR="00D87276" w:rsidRPr="00C15715" w:rsidRDefault="00D87276" w:rsidP="00F97BC0">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2016</w:t>
            </w:r>
          </w:p>
        </w:tc>
        <w:tc>
          <w:tcPr>
            <w:tcW w:w="850" w:type="dxa"/>
            <w:tcBorders>
              <w:top w:val="nil"/>
              <w:left w:val="nil"/>
              <w:bottom w:val="single" w:sz="4" w:space="0" w:color="auto"/>
              <w:right w:val="single" w:sz="4" w:space="0" w:color="auto"/>
            </w:tcBorders>
            <w:shd w:val="clear" w:color="auto" w:fill="auto"/>
            <w:vAlign w:val="center"/>
            <w:hideMark/>
          </w:tcPr>
          <w:p w14:paraId="4691963B"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20,1</w:t>
            </w:r>
          </w:p>
        </w:tc>
        <w:tc>
          <w:tcPr>
            <w:tcW w:w="790" w:type="dxa"/>
            <w:tcBorders>
              <w:top w:val="nil"/>
              <w:left w:val="nil"/>
              <w:bottom w:val="single" w:sz="4" w:space="0" w:color="auto"/>
              <w:right w:val="single" w:sz="4" w:space="0" w:color="auto"/>
            </w:tcBorders>
            <w:shd w:val="clear" w:color="auto" w:fill="auto"/>
            <w:vAlign w:val="center"/>
            <w:hideMark/>
          </w:tcPr>
          <w:p w14:paraId="5A3D37D0"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10,9</w:t>
            </w:r>
          </w:p>
        </w:tc>
        <w:tc>
          <w:tcPr>
            <w:tcW w:w="756" w:type="dxa"/>
            <w:tcBorders>
              <w:top w:val="nil"/>
              <w:left w:val="nil"/>
              <w:bottom w:val="single" w:sz="4" w:space="0" w:color="auto"/>
              <w:right w:val="single" w:sz="4" w:space="0" w:color="auto"/>
            </w:tcBorders>
            <w:shd w:val="clear" w:color="auto" w:fill="auto"/>
            <w:vAlign w:val="center"/>
            <w:hideMark/>
          </w:tcPr>
          <w:p w14:paraId="7993135B"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756" w:type="dxa"/>
            <w:tcBorders>
              <w:top w:val="nil"/>
              <w:left w:val="nil"/>
              <w:bottom w:val="single" w:sz="4" w:space="0" w:color="auto"/>
              <w:right w:val="single" w:sz="4" w:space="0" w:color="auto"/>
            </w:tcBorders>
            <w:shd w:val="clear" w:color="auto" w:fill="auto"/>
            <w:vAlign w:val="center"/>
            <w:hideMark/>
          </w:tcPr>
          <w:p w14:paraId="1A5A805F"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19,3</w:t>
            </w:r>
          </w:p>
        </w:tc>
        <w:tc>
          <w:tcPr>
            <w:tcW w:w="756" w:type="dxa"/>
            <w:tcBorders>
              <w:top w:val="nil"/>
              <w:left w:val="nil"/>
              <w:bottom w:val="single" w:sz="4" w:space="0" w:color="auto"/>
              <w:right w:val="single" w:sz="4" w:space="0" w:color="auto"/>
            </w:tcBorders>
            <w:shd w:val="clear" w:color="auto" w:fill="auto"/>
            <w:vAlign w:val="center"/>
            <w:hideMark/>
          </w:tcPr>
          <w:p w14:paraId="1CFB8F29"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22,6</w:t>
            </w:r>
          </w:p>
        </w:tc>
        <w:tc>
          <w:tcPr>
            <w:tcW w:w="910" w:type="dxa"/>
            <w:tcBorders>
              <w:top w:val="nil"/>
              <w:left w:val="nil"/>
              <w:bottom w:val="single" w:sz="4" w:space="0" w:color="auto"/>
              <w:right w:val="single" w:sz="4" w:space="0" w:color="auto"/>
            </w:tcBorders>
            <w:shd w:val="clear" w:color="auto" w:fill="auto"/>
            <w:vAlign w:val="center"/>
            <w:hideMark/>
          </w:tcPr>
          <w:p w14:paraId="79AFD8C7"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10,5</w:t>
            </w:r>
          </w:p>
        </w:tc>
        <w:tc>
          <w:tcPr>
            <w:tcW w:w="756" w:type="dxa"/>
            <w:tcBorders>
              <w:top w:val="nil"/>
              <w:left w:val="nil"/>
              <w:bottom w:val="single" w:sz="4" w:space="0" w:color="auto"/>
              <w:right w:val="single" w:sz="4" w:space="0" w:color="auto"/>
            </w:tcBorders>
            <w:shd w:val="clear" w:color="auto" w:fill="auto"/>
            <w:vAlign w:val="center"/>
            <w:hideMark/>
          </w:tcPr>
          <w:p w14:paraId="6A1C5608"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34,5</w:t>
            </w:r>
          </w:p>
        </w:tc>
        <w:tc>
          <w:tcPr>
            <w:tcW w:w="663" w:type="dxa"/>
            <w:tcBorders>
              <w:top w:val="nil"/>
              <w:left w:val="nil"/>
              <w:bottom w:val="single" w:sz="4" w:space="0" w:color="auto"/>
              <w:right w:val="single" w:sz="4" w:space="0" w:color="auto"/>
            </w:tcBorders>
            <w:shd w:val="clear" w:color="auto" w:fill="auto"/>
            <w:vAlign w:val="center"/>
            <w:hideMark/>
          </w:tcPr>
          <w:p w14:paraId="5C1D67F7"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20,6</w:t>
            </w:r>
          </w:p>
        </w:tc>
        <w:tc>
          <w:tcPr>
            <w:tcW w:w="1006" w:type="dxa"/>
            <w:tcBorders>
              <w:top w:val="nil"/>
              <w:left w:val="nil"/>
              <w:bottom w:val="single" w:sz="4" w:space="0" w:color="auto"/>
              <w:right w:val="single" w:sz="4" w:space="0" w:color="auto"/>
            </w:tcBorders>
            <w:shd w:val="clear" w:color="auto" w:fill="auto"/>
            <w:vAlign w:val="center"/>
            <w:hideMark/>
          </w:tcPr>
          <w:p w14:paraId="6F2A609E"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15,8</w:t>
            </w:r>
          </w:p>
        </w:tc>
        <w:tc>
          <w:tcPr>
            <w:tcW w:w="695" w:type="dxa"/>
            <w:tcBorders>
              <w:top w:val="nil"/>
              <w:left w:val="nil"/>
              <w:bottom w:val="single" w:sz="4" w:space="0" w:color="auto"/>
              <w:right w:val="single" w:sz="4" w:space="0" w:color="auto"/>
            </w:tcBorders>
            <w:shd w:val="clear" w:color="auto" w:fill="auto"/>
            <w:vAlign w:val="center"/>
            <w:hideMark/>
          </w:tcPr>
          <w:p w14:paraId="47C99132"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17,6</w:t>
            </w:r>
          </w:p>
        </w:tc>
        <w:tc>
          <w:tcPr>
            <w:tcW w:w="708" w:type="dxa"/>
            <w:tcBorders>
              <w:top w:val="nil"/>
              <w:left w:val="nil"/>
              <w:bottom w:val="single" w:sz="4" w:space="0" w:color="auto"/>
              <w:right w:val="single" w:sz="4" w:space="0" w:color="auto"/>
            </w:tcBorders>
            <w:shd w:val="clear" w:color="auto" w:fill="auto"/>
            <w:vAlign w:val="center"/>
            <w:hideMark/>
          </w:tcPr>
          <w:p w14:paraId="1AD4187D"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28,4</w:t>
            </w:r>
          </w:p>
        </w:tc>
        <w:tc>
          <w:tcPr>
            <w:tcW w:w="851" w:type="dxa"/>
            <w:tcBorders>
              <w:top w:val="nil"/>
              <w:left w:val="nil"/>
              <w:bottom w:val="single" w:sz="4" w:space="0" w:color="auto"/>
              <w:right w:val="single" w:sz="4" w:space="0" w:color="auto"/>
            </w:tcBorders>
            <w:shd w:val="clear" w:color="auto" w:fill="auto"/>
            <w:vAlign w:val="center"/>
            <w:hideMark/>
          </w:tcPr>
          <w:p w14:paraId="55BC2769"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21,7</w:t>
            </w:r>
          </w:p>
        </w:tc>
      </w:tr>
      <w:tr w:rsidR="00D87276" w:rsidRPr="00C15715" w14:paraId="6B33300B" w14:textId="77777777" w:rsidTr="00F97BC0">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058E9158" w14:textId="77777777" w:rsidR="00D87276" w:rsidRPr="00C15715" w:rsidRDefault="00D87276" w:rsidP="00F97BC0">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2017</w:t>
            </w:r>
          </w:p>
        </w:tc>
        <w:tc>
          <w:tcPr>
            <w:tcW w:w="850" w:type="dxa"/>
            <w:tcBorders>
              <w:top w:val="nil"/>
              <w:left w:val="nil"/>
              <w:bottom w:val="single" w:sz="4" w:space="0" w:color="auto"/>
              <w:right w:val="single" w:sz="4" w:space="0" w:color="auto"/>
            </w:tcBorders>
            <w:shd w:val="clear" w:color="auto" w:fill="auto"/>
            <w:vAlign w:val="center"/>
            <w:hideMark/>
          </w:tcPr>
          <w:p w14:paraId="496A8774"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90" w:type="dxa"/>
            <w:tcBorders>
              <w:top w:val="nil"/>
              <w:left w:val="nil"/>
              <w:bottom w:val="single" w:sz="4" w:space="0" w:color="auto"/>
              <w:right w:val="single" w:sz="4" w:space="0" w:color="auto"/>
            </w:tcBorders>
            <w:shd w:val="clear" w:color="auto" w:fill="auto"/>
            <w:vAlign w:val="center"/>
            <w:hideMark/>
          </w:tcPr>
          <w:p w14:paraId="16DB469C"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75307D80"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23,8</w:t>
            </w:r>
          </w:p>
        </w:tc>
        <w:tc>
          <w:tcPr>
            <w:tcW w:w="756" w:type="dxa"/>
            <w:tcBorders>
              <w:top w:val="nil"/>
              <w:left w:val="nil"/>
              <w:bottom w:val="single" w:sz="4" w:space="0" w:color="auto"/>
              <w:right w:val="single" w:sz="4" w:space="0" w:color="auto"/>
            </w:tcBorders>
            <w:shd w:val="clear" w:color="auto" w:fill="auto"/>
            <w:vAlign w:val="center"/>
            <w:hideMark/>
          </w:tcPr>
          <w:p w14:paraId="604B857E"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19,7</w:t>
            </w:r>
          </w:p>
        </w:tc>
        <w:tc>
          <w:tcPr>
            <w:tcW w:w="756" w:type="dxa"/>
            <w:tcBorders>
              <w:top w:val="nil"/>
              <w:left w:val="nil"/>
              <w:bottom w:val="single" w:sz="4" w:space="0" w:color="auto"/>
              <w:right w:val="single" w:sz="4" w:space="0" w:color="auto"/>
            </w:tcBorders>
            <w:shd w:val="clear" w:color="auto" w:fill="auto"/>
            <w:vAlign w:val="center"/>
            <w:hideMark/>
          </w:tcPr>
          <w:p w14:paraId="4C4D257D"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19,6</w:t>
            </w:r>
          </w:p>
        </w:tc>
        <w:tc>
          <w:tcPr>
            <w:tcW w:w="910" w:type="dxa"/>
            <w:tcBorders>
              <w:top w:val="nil"/>
              <w:left w:val="nil"/>
              <w:bottom w:val="single" w:sz="4" w:space="0" w:color="auto"/>
              <w:right w:val="single" w:sz="4" w:space="0" w:color="auto"/>
            </w:tcBorders>
            <w:shd w:val="clear" w:color="auto" w:fill="auto"/>
            <w:vAlign w:val="center"/>
            <w:hideMark/>
          </w:tcPr>
          <w:p w14:paraId="46A409C5"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1E17B0D9"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663" w:type="dxa"/>
            <w:tcBorders>
              <w:top w:val="nil"/>
              <w:left w:val="nil"/>
              <w:bottom w:val="single" w:sz="4" w:space="0" w:color="auto"/>
              <w:right w:val="single" w:sz="4" w:space="0" w:color="auto"/>
            </w:tcBorders>
            <w:shd w:val="clear" w:color="auto" w:fill="auto"/>
            <w:vAlign w:val="center"/>
            <w:hideMark/>
          </w:tcPr>
          <w:p w14:paraId="0DE825FD"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20,3</w:t>
            </w:r>
          </w:p>
        </w:tc>
        <w:tc>
          <w:tcPr>
            <w:tcW w:w="1006" w:type="dxa"/>
            <w:tcBorders>
              <w:top w:val="nil"/>
              <w:left w:val="nil"/>
              <w:bottom w:val="single" w:sz="4" w:space="0" w:color="auto"/>
              <w:right w:val="single" w:sz="4" w:space="0" w:color="auto"/>
            </w:tcBorders>
            <w:shd w:val="clear" w:color="auto" w:fill="auto"/>
            <w:vAlign w:val="center"/>
            <w:hideMark/>
          </w:tcPr>
          <w:p w14:paraId="1E061462"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23,5</w:t>
            </w:r>
          </w:p>
        </w:tc>
        <w:tc>
          <w:tcPr>
            <w:tcW w:w="695" w:type="dxa"/>
            <w:tcBorders>
              <w:top w:val="nil"/>
              <w:left w:val="nil"/>
              <w:bottom w:val="single" w:sz="4" w:space="0" w:color="auto"/>
              <w:right w:val="single" w:sz="4" w:space="0" w:color="auto"/>
            </w:tcBorders>
            <w:shd w:val="clear" w:color="auto" w:fill="auto"/>
            <w:vAlign w:val="center"/>
            <w:hideMark/>
          </w:tcPr>
          <w:p w14:paraId="6A48B34A"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08" w:type="dxa"/>
            <w:tcBorders>
              <w:top w:val="nil"/>
              <w:left w:val="nil"/>
              <w:bottom w:val="single" w:sz="4" w:space="0" w:color="auto"/>
              <w:right w:val="single" w:sz="4" w:space="0" w:color="auto"/>
            </w:tcBorders>
            <w:shd w:val="clear" w:color="auto" w:fill="auto"/>
            <w:vAlign w:val="center"/>
            <w:hideMark/>
          </w:tcPr>
          <w:p w14:paraId="021306DD"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26,8</w:t>
            </w:r>
          </w:p>
        </w:tc>
        <w:tc>
          <w:tcPr>
            <w:tcW w:w="851" w:type="dxa"/>
            <w:tcBorders>
              <w:top w:val="nil"/>
              <w:left w:val="nil"/>
              <w:bottom w:val="single" w:sz="4" w:space="0" w:color="auto"/>
              <w:right w:val="single" w:sz="4" w:space="0" w:color="auto"/>
            </w:tcBorders>
            <w:shd w:val="clear" w:color="auto" w:fill="auto"/>
            <w:vAlign w:val="center"/>
            <w:hideMark/>
          </w:tcPr>
          <w:p w14:paraId="2EFAEBC2" w14:textId="77777777" w:rsidR="00D87276" w:rsidRPr="00C15715" w:rsidRDefault="00D87276" w:rsidP="00F97BC0">
            <w:pPr>
              <w:spacing w:after="0" w:line="240" w:lineRule="auto"/>
              <w:jc w:val="center"/>
              <w:rPr>
                <w:rFonts w:eastAsia="Times New Roman" w:cstheme="minorHAnsi"/>
                <w:szCs w:val="24"/>
                <w:lang w:eastAsia="lv-LV"/>
              </w:rPr>
            </w:pPr>
            <w:r w:rsidRPr="00C15715">
              <w:rPr>
                <w:rFonts w:eastAsia="Times New Roman" w:cstheme="minorHAnsi"/>
                <w:szCs w:val="24"/>
                <w:lang w:eastAsia="lv-LV"/>
              </w:rPr>
              <w:t>18,4</w:t>
            </w:r>
          </w:p>
        </w:tc>
      </w:tr>
    </w:tbl>
    <w:p w14:paraId="25C6FA2D" w14:textId="77777777" w:rsidR="00D87276" w:rsidRPr="00C15715" w:rsidRDefault="00D87276" w:rsidP="00D87276">
      <w:pPr>
        <w:spacing w:before="120" w:after="120" w:line="240" w:lineRule="auto"/>
        <w:jc w:val="both"/>
        <w:rPr>
          <w:rFonts w:cstheme="minorHAnsi"/>
          <w:iCs/>
          <w:szCs w:val="24"/>
        </w:rPr>
      </w:pPr>
      <w:r w:rsidRPr="00C15715">
        <w:rPr>
          <w:rFonts w:cstheme="minorHAnsi"/>
          <w:szCs w:val="24"/>
        </w:rPr>
        <w:t xml:space="preserve">Savukārt atbalsts dzīvokļa jautājumu risināšanā parāda gan dzīvokļa pabalsta saņēmēju skaitu, dzīvokļa pabalsta vidējos apmērus un šim mērķim izlietotos līdzekļus. 2017.gadā dzīvokļa pabalstu saņēma 93,7 tūkstoši iedzīvotāju  (4,8 % no iedzīvotājiem kopumā). Dzīvokļa pabalsta vidējais apmērs gadā vienai personai ir 177 eiro un dzīvokļa pabalstam pašvaldības pērn izlietoja 16,5 miljonus </w:t>
      </w:r>
      <w:r w:rsidRPr="00C15715">
        <w:rPr>
          <w:rFonts w:cstheme="minorHAnsi"/>
          <w:iCs/>
          <w:szCs w:val="24"/>
        </w:rPr>
        <w:t>EUR.</w:t>
      </w:r>
    </w:p>
    <w:p w14:paraId="5D7864A4" w14:textId="5CEDA387" w:rsidR="00D87276" w:rsidRDefault="00D87276" w:rsidP="00D87276">
      <w:pPr>
        <w:pStyle w:val="Heading30"/>
      </w:pPr>
      <w:r w:rsidRPr="00C15715">
        <w:t xml:space="preserve">Pašreizējais cenas elementu sadalījums </w:t>
      </w:r>
    </w:p>
    <w:p w14:paraId="3AA7A76B" w14:textId="3819B4EA" w:rsidR="001121B4" w:rsidRDefault="001121B4" w:rsidP="001121B4">
      <w:pPr>
        <w:spacing w:before="120" w:after="120" w:line="240" w:lineRule="auto"/>
        <w:jc w:val="both"/>
        <w:rPr>
          <w:rFonts w:cstheme="minorHAnsi"/>
          <w:szCs w:val="24"/>
        </w:rPr>
      </w:pPr>
      <w:r w:rsidRPr="00C15715">
        <w:rPr>
          <w:rFonts w:cstheme="minorHAnsi"/>
          <w:szCs w:val="24"/>
        </w:rPr>
        <w:t>Dabasgāzes apgādes pakalpojumu tarifu noteikšanā SPRK ievēro likumā "Par sabiedrisko pakalpojumu regulatoriem" noteikto pamatprincipu: tarifi nosakāmi tādā apmērā, lai lietotāju veiktie tarifu maksājumi segtu ekonomiski pamatotas pakalpojuma sniegšanas izmaksas un nodrošinātu sabiedrisko pakalpojumu rentabilitāti. Tarifa projektā iekļauj tikai tās izmaksas, kas attiecas uz konkrētā pakalpojuma sniegšanu un ir ekonomiski pamatotas. SPRK nosaka dabasgāzes pārvades, uzglabāšanas, sadales pakalpojumu aprēķināšanas metodiku un atbilstoši tām nosaka dabasgāzes pārvades sistēmas tarifu, dabasgāzes uzglabāšanas pakalpojumu tarifu un dabasgāzes sadales sistēmas pakalpojuma tarifu.</w:t>
      </w:r>
    </w:p>
    <w:p w14:paraId="6C0D195C" w14:textId="1AC3B79D" w:rsidR="001121B4" w:rsidRPr="00C15715" w:rsidRDefault="001121B4" w:rsidP="001121B4">
      <w:pPr>
        <w:spacing w:before="120" w:after="120" w:line="240" w:lineRule="auto"/>
        <w:jc w:val="center"/>
        <w:rPr>
          <w:rFonts w:eastAsiaTheme="majorEastAsia" w:cstheme="minorHAnsi"/>
          <w:b/>
          <w:iCs/>
          <w:noProof/>
          <w:sz w:val="20"/>
          <w:szCs w:val="24"/>
        </w:rPr>
      </w:pPr>
      <w:r w:rsidRPr="00C15715">
        <w:rPr>
          <w:rFonts w:cstheme="minorHAnsi"/>
          <w:noProof/>
        </w:rPr>
        <w:lastRenderedPageBreak/>
        <w:drawing>
          <wp:inline distT="0" distB="0" distL="0" distR="0" wp14:anchorId="4D92E212" wp14:editId="16F7ABED">
            <wp:extent cx="5661329" cy="3116912"/>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r>
        <w:rPr>
          <w:rFonts w:eastAsiaTheme="majorEastAsia" w:cstheme="minorHAnsi"/>
          <w:b/>
          <w:iCs/>
          <w:noProof/>
          <w:sz w:val="20"/>
          <w:szCs w:val="24"/>
        </w:rPr>
        <w:t>25</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 Dabasgāzes cenas galalietotājam komponenšu sadalījums</w:t>
      </w:r>
      <w:r w:rsidRPr="00E47B85">
        <w:rPr>
          <w:rFonts w:eastAsiaTheme="majorEastAsia" w:cstheme="minorHAnsi"/>
          <w:b/>
          <w:iCs/>
          <w:noProof/>
          <w:sz w:val="20"/>
          <w:szCs w:val="24"/>
          <w:vertAlign w:val="superscript"/>
        </w:rPr>
        <w:footnoteReference w:id="44"/>
      </w:r>
    </w:p>
    <w:p w14:paraId="5C28619A" w14:textId="77777777" w:rsidR="001121B4" w:rsidRPr="00C15715" w:rsidRDefault="001121B4" w:rsidP="001121B4">
      <w:pPr>
        <w:spacing w:before="120" w:after="120" w:line="240" w:lineRule="auto"/>
        <w:jc w:val="both"/>
        <w:rPr>
          <w:rFonts w:cstheme="minorHAnsi"/>
        </w:rPr>
      </w:pPr>
      <w:r w:rsidRPr="00C15715">
        <w:rPr>
          <w:rFonts w:cstheme="minorHAnsi"/>
        </w:rPr>
        <w:t xml:space="preserve">Elektroenerģijas cena ir viena no komponentēm elektroenerģijas gala cenā, kur vēl papildus tam gala cenu veido pārvades un sadales sistēmu pakalpojumi, OIK un PVN. Pārvades sistēmas operatora un sadales sistēmas operatora pakalpojumu izmaksas (tarifus) Latvijā apstiprina SPRK. Pārvades pakalpojums un sadales pakalpojums ir tikai viena no rēķina pozīcijām, kas ir noteikta ar diferencēto tarifu. Tarifs (sadales un pārvades pakalpojumi) var sastāvēt no: maksas par elektroenerģijas piegādi; maksas par elektroenerģijas nodrošināšanu; maksas par </w:t>
      </w:r>
      <w:proofErr w:type="spellStart"/>
      <w:r w:rsidRPr="00C15715">
        <w:rPr>
          <w:rFonts w:cstheme="minorHAnsi"/>
        </w:rPr>
        <w:t>ievadaizsardzības</w:t>
      </w:r>
      <w:proofErr w:type="spellEnd"/>
      <w:r w:rsidRPr="00C15715">
        <w:rPr>
          <w:rFonts w:cstheme="minorHAnsi"/>
        </w:rPr>
        <w:t xml:space="preserve"> aparāta strāvas lielumu; maksas par atļauto slodzi.</w:t>
      </w:r>
    </w:p>
    <w:p w14:paraId="1A9141DD" w14:textId="77777777" w:rsidR="001121B4" w:rsidRPr="00C15715" w:rsidRDefault="001121B4" w:rsidP="001121B4">
      <w:pPr>
        <w:spacing w:before="120" w:after="120" w:line="240" w:lineRule="auto"/>
        <w:jc w:val="center"/>
        <w:rPr>
          <w:rFonts w:cstheme="minorHAnsi"/>
          <w:szCs w:val="24"/>
        </w:rPr>
      </w:pPr>
      <w:r w:rsidRPr="00C15715">
        <w:rPr>
          <w:rFonts w:cstheme="minorHAnsi"/>
          <w:noProof/>
          <w:szCs w:val="24"/>
        </w:rPr>
        <w:drawing>
          <wp:inline distT="0" distB="0" distL="0" distR="0" wp14:anchorId="60C079CF" wp14:editId="271237D5">
            <wp:extent cx="5331460" cy="2932861"/>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1460" cy="2932861"/>
                    </a:xfrm>
                    <a:prstGeom prst="rect">
                      <a:avLst/>
                    </a:prstGeom>
                  </pic:spPr>
                </pic:pic>
              </a:graphicData>
            </a:graphic>
          </wp:inline>
        </w:drawing>
      </w:r>
    </w:p>
    <w:p w14:paraId="519870EF" w14:textId="201EF03B" w:rsidR="001121B4" w:rsidRPr="00C15715" w:rsidRDefault="001121B4" w:rsidP="001121B4">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r>
        <w:rPr>
          <w:rFonts w:asciiTheme="minorHAnsi" w:hAnsiTheme="minorHAnsi" w:cstheme="minorHAnsi"/>
          <w:noProof/>
          <w:szCs w:val="24"/>
        </w:rPr>
        <w:t>26</w:t>
      </w:r>
      <w:r w:rsidRPr="00C15715">
        <w:rPr>
          <w:rFonts w:asciiTheme="minorHAnsi" w:hAnsiTheme="minorHAnsi" w:cstheme="minorHAnsi"/>
          <w:szCs w:val="24"/>
        </w:rPr>
        <w:fldChar w:fldCharType="end"/>
      </w:r>
      <w:r w:rsidRPr="00C15715">
        <w:rPr>
          <w:rFonts w:asciiTheme="minorHAnsi" w:hAnsiTheme="minorHAnsi" w:cstheme="minorHAnsi"/>
        </w:rPr>
        <w:t>.attēls. Elektroenerģijas cenas galalietotājam komponenšu sadalījums</w:t>
      </w:r>
      <w:r w:rsidRPr="00C15715">
        <w:rPr>
          <w:rStyle w:val="FootnoteReference"/>
          <w:rFonts w:asciiTheme="minorHAnsi" w:hAnsiTheme="minorHAnsi" w:cstheme="minorHAnsi"/>
        </w:rPr>
        <w:footnoteReference w:id="45"/>
      </w:r>
    </w:p>
    <w:p w14:paraId="0DCF05BC" w14:textId="43C3D22A" w:rsidR="00EE00C3" w:rsidRDefault="00EE00C3" w:rsidP="00D87276">
      <w:pPr>
        <w:spacing w:before="120" w:after="120" w:line="240" w:lineRule="auto"/>
        <w:jc w:val="both"/>
        <w:rPr>
          <w:rFonts w:cstheme="minorHAnsi"/>
        </w:rPr>
      </w:pPr>
      <w:r w:rsidRPr="00C15715">
        <w:rPr>
          <w:rFonts w:cstheme="minorHAnsi"/>
        </w:rPr>
        <w:t xml:space="preserve">Siltumapgādes nozarē regulējamie pakalpojumi ir siltumenerģijas ražošana, siltumenerģijas pārvade un sadale, kā arī siltumenerģijas tirdzniecība. Tāpat siltumenerģijas tirdzniecība tiek regulēta līdz tā dēvētajai "piederības robežai" ar lietotāju, parasti tas ir līdz siltumtrases ievada </w:t>
      </w:r>
      <w:r w:rsidRPr="00C15715">
        <w:rPr>
          <w:rFonts w:cstheme="minorHAnsi"/>
        </w:rPr>
        <w:lastRenderedPageBreak/>
        <w:t xml:space="preserve">vietai ēkā. Siltumenerģijas izmantošana ēkā nav regulējams pakalpojums. Siltumenerģijas apgādes pakalpojums ir regulējams, ja kopējais siltumenerģijas apjoms ir lielāks par 5000 </w:t>
      </w:r>
      <w:proofErr w:type="spellStart"/>
      <w:r w:rsidRPr="00C15715">
        <w:rPr>
          <w:rFonts w:cstheme="minorHAnsi"/>
        </w:rPr>
        <w:t>MWh</w:t>
      </w:r>
      <w:proofErr w:type="spellEnd"/>
      <w:r w:rsidRPr="00C15715">
        <w:rPr>
          <w:rFonts w:cstheme="minorHAnsi"/>
        </w:rPr>
        <w:t>/gadā. Savukārt mazās siltumapgādes sistēmas netiek regulētas, lai neuzliktu papildu administratīvo slogu siltumapgādes komersantiem un tādējādi nepalielinātu siltumapgādes izmaksas un tarifus.</w:t>
      </w:r>
      <w:r w:rsidR="001121B4" w:rsidRPr="001121B4">
        <w:rPr>
          <w:rFonts w:cstheme="minorHAnsi"/>
          <w:noProof/>
        </w:rPr>
        <w:t xml:space="preserve"> </w:t>
      </w:r>
    </w:p>
    <w:p w14:paraId="51B357EE" w14:textId="6FEB9791" w:rsidR="001121B4" w:rsidRPr="00C15715" w:rsidRDefault="001121B4" w:rsidP="001121B4">
      <w:pPr>
        <w:spacing w:before="120" w:after="120" w:line="240" w:lineRule="auto"/>
        <w:ind w:left="-851"/>
        <w:jc w:val="center"/>
        <w:rPr>
          <w:rFonts w:cstheme="minorHAnsi"/>
        </w:rPr>
      </w:pPr>
      <w:r>
        <w:rPr>
          <w:rFonts w:cstheme="minorHAnsi"/>
          <w:noProof/>
        </w:rPr>
        <w:drawing>
          <wp:inline distT="0" distB="0" distL="0" distR="0" wp14:anchorId="3C227A4E" wp14:editId="4A06DEEB">
            <wp:extent cx="7495940" cy="30294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17072" cy="3037987"/>
                    </a:xfrm>
                    <a:prstGeom prst="rect">
                      <a:avLst/>
                    </a:prstGeom>
                    <a:noFill/>
                  </pic:spPr>
                </pic:pic>
              </a:graphicData>
            </a:graphic>
          </wp:inline>
        </w:drawing>
      </w:r>
    </w:p>
    <w:p w14:paraId="5E0F84B6" w14:textId="09C6F58C" w:rsidR="001406A3" w:rsidRPr="00C15715" w:rsidRDefault="001406A3" w:rsidP="001406A3">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r w:rsidR="001121B4">
        <w:rPr>
          <w:rFonts w:eastAsiaTheme="majorEastAsia" w:cstheme="minorHAnsi"/>
          <w:b/>
          <w:iCs/>
          <w:noProof/>
          <w:sz w:val="20"/>
          <w:szCs w:val="24"/>
        </w:rPr>
        <w:t>27</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 Siltumenerģijas tarifu mainīgo izmaksu (kreisā puse) un pastāvīgo izmaksu (labā puse) komponenšu sadalījums</w:t>
      </w:r>
      <w:r w:rsidRPr="00C15715">
        <w:rPr>
          <w:rFonts w:eastAsiaTheme="majorEastAsia" w:cstheme="minorHAnsi"/>
          <w:b/>
          <w:iCs/>
          <w:noProof/>
          <w:sz w:val="20"/>
          <w:szCs w:val="24"/>
          <w:vertAlign w:val="superscript"/>
        </w:rPr>
        <w:footnoteReference w:id="46"/>
      </w:r>
    </w:p>
    <w:p w14:paraId="6EB9CEAD" w14:textId="7B8B27C5" w:rsidR="00D87276" w:rsidRPr="00C15715" w:rsidRDefault="00D87276" w:rsidP="00D87276">
      <w:pPr>
        <w:spacing w:before="120" w:after="120" w:line="240" w:lineRule="auto"/>
        <w:jc w:val="both"/>
        <w:rPr>
          <w:rFonts w:cstheme="minorHAnsi"/>
        </w:rPr>
      </w:pPr>
      <w:r w:rsidRPr="00C15715">
        <w:rPr>
          <w:rFonts w:cstheme="minorHAnsi"/>
        </w:rPr>
        <w:t xml:space="preserve">Siltumenerģijas tarifu dažādās apdzīvotajās vietās atšķiras, un šīs atšķirības nosaka pakalpojumu sniegšanas nosacījumi – izvēlētie siltumapgādes sistēmas tehnoloģiskie risinājumi, siltumapgādes sistēmas kompaktums un tās tehniskais stāvoklis, kā arī katras apdzīvotās vietas ģeogrāfiskās u.c. īpatnības (reljefs, apbūves blīvums, siltumapgādes lietotāju daudzums utt.). No šiem nosacījumiem ir atkarīgas pakalpojuma sniegšanas izmaksas, kas ir nepieciešamas, lai pakalpojumu varētu nodrošināt. </w:t>
      </w:r>
      <w:r w:rsidR="002128E1" w:rsidRPr="00C15715">
        <w:rPr>
          <w:rFonts w:cstheme="minorHAnsi"/>
        </w:rPr>
        <w:t>L</w:t>
      </w:r>
      <w:r w:rsidRPr="00C15715">
        <w:rPr>
          <w:rFonts w:cstheme="minorHAnsi"/>
        </w:rPr>
        <w:t xml:space="preserve">ielākā daļa no kopējā tarifa veido kurināmā izmaksas vai iepirktās siltumenerģijas izmaksas un pastāvīgās izmaksas, kas ir darba samaksa, pamatlīdzekļu nolietojums </w:t>
      </w:r>
      <w:proofErr w:type="spellStart"/>
      <w:r w:rsidRPr="00C15715">
        <w:rPr>
          <w:rFonts w:cstheme="minorHAnsi"/>
        </w:rPr>
        <w:t>uc</w:t>
      </w:r>
      <w:proofErr w:type="spellEnd"/>
      <w:r w:rsidRPr="00C15715">
        <w:rPr>
          <w:rFonts w:cstheme="minorHAnsi"/>
        </w:rPr>
        <w:t>. Pārējās izmaksas ir salīdzinoši nelielas.</w:t>
      </w:r>
    </w:p>
    <w:p w14:paraId="0D776E8E" w14:textId="77777777" w:rsidR="001121B4" w:rsidRPr="00E47B85" w:rsidRDefault="00E47B85" w:rsidP="001121B4">
      <w:pPr>
        <w:spacing w:before="120" w:after="120" w:line="240" w:lineRule="auto"/>
        <w:jc w:val="both"/>
        <w:rPr>
          <w:rFonts w:cstheme="minorHAnsi"/>
          <w:szCs w:val="24"/>
        </w:rPr>
      </w:pPr>
      <w:r w:rsidRPr="00E47B85">
        <w:rPr>
          <w:rFonts w:cstheme="minorHAnsi"/>
          <w:szCs w:val="24"/>
        </w:rPr>
        <w:t>Degvielas gala cenas, visās ES dalībvalstīs veidojas pēc līdzīga principa</w:t>
      </w:r>
      <w:r>
        <w:rPr>
          <w:rFonts w:cstheme="minorHAnsi"/>
          <w:szCs w:val="24"/>
        </w:rPr>
        <w:t xml:space="preserve">, kur </w:t>
      </w:r>
      <w:r w:rsidRPr="00E47B85">
        <w:rPr>
          <w:rFonts w:cstheme="minorHAnsi"/>
          <w:szCs w:val="24"/>
        </w:rPr>
        <w:t>cenu veido trīs pamata komponentes – degvielas iepirkuma cena, valsts nodevas un nodokļi, mazumtirgotāja izmaksas.</w:t>
      </w:r>
      <w:r w:rsidR="001121B4">
        <w:rPr>
          <w:rFonts w:cstheme="minorHAnsi"/>
          <w:szCs w:val="24"/>
        </w:rPr>
        <w:t xml:space="preserve"> </w:t>
      </w:r>
      <w:r w:rsidR="001121B4" w:rsidRPr="00E47B85">
        <w:rPr>
          <w:rFonts w:cstheme="minorHAnsi"/>
          <w:szCs w:val="24"/>
        </w:rPr>
        <w:t>Degvielas iepirkuma cenu veido tādas komponentes kā naftas un degvielas cenas, valūtas kursu svārstības, ģeopolitiskā situācija, klimatiskā situācija, kvalitātes prasības, kā arī pieprasījums.</w:t>
      </w:r>
      <w:r w:rsidR="001121B4">
        <w:rPr>
          <w:rFonts w:cstheme="minorHAnsi"/>
          <w:szCs w:val="24"/>
        </w:rPr>
        <w:t xml:space="preserve"> </w:t>
      </w:r>
      <w:r w:rsidR="001121B4" w:rsidRPr="00E47B85">
        <w:rPr>
          <w:rFonts w:cstheme="minorHAnsi"/>
          <w:szCs w:val="24"/>
        </w:rPr>
        <w:t>Valsts nodevas un nodokļu daļu veido – akcīzes nodoklis, valsts rezervju nodeva un pievienotās vērtības nodoklis.</w:t>
      </w:r>
      <w:r w:rsidR="001121B4">
        <w:rPr>
          <w:rFonts w:cstheme="minorHAnsi"/>
          <w:szCs w:val="24"/>
        </w:rPr>
        <w:t xml:space="preserve"> </w:t>
      </w:r>
      <w:r w:rsidR="001121B4" w:rsidRPr="00E47B85">
        <w:rPr>
          <w:rFonts w:cstheme="minorHAnsi"/>
          <w:szCs w:val="24"/>
        </w:rPr>
        <w:t xml:space="preserve">Savukārt mazumtirgotāja izmaksas aptver dažādu piedevu pievienošanu, uzņēmuma uzturēšanas un attīstības izmaksas, to vidū - degvielas </w:t>
      </w:r>
      <w:proofErr w:type="spellStart"/>
      <w:r w:rsidR="001121B4" w:rsidRPr="00E47B85">
        <w:rPr>
          <w:rFonts w:cstheme="minorHAnsi"/>
          <w:szCs w:val="24"/>
        </w:rPr>
        <w:t>uzpildes</w:t>
      </w:r>
      <w:proofErr w:type="spellEnd"/>
      <w:r w:rsidR="001121B4" w:rsidRPr="00E47B85">
        <w:rPr>
          <w:rFonts w:cstheme="minorHAnsi"/>
          <w:szCs w:val="24"/>
        </w:rPr>
        <w:t xml:space="preserve"> stacijas uzturēšana un personāla izmaksas.</w:t>
      </w:r>
    </w:p>
    <w:p w14:paraId="1744A6DB" w14:textId="53EC411F" w:rsidR="00E47B85" w:rsidRDefault="00E47B85" w:rsidP="00E47B85">
      <w:pPr>
        <w:spacing w:before="120" w:after="120" w:line="240" w:lineRule="auto"/>
        <w:jc w:val="center"/>
        <w:rPr>
          <w:rFonts w:cstheme="minorHAnsi"/>
          <w:szCs w:val="24"/>
        </w:rPr>
      </w:pPr>
      <w:r>
        <w:rPr>
          <w:rFonts w:cstheme="minorHAnsi"/>
          <w:noProof/>
          <w:szCs w:val="24"/>
        </w:rPr>
        <w:lastRenderedPageBreak/>
        <w:drawing>
          <wp:inline distT="0" distB="0" distL="0" distR="0" wp14:anchorId="715B7C26" wp14:editId="2DC23344">
            <wp:extent cx="3698620" cy="2289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9905" cy="2296963"/>
                    </a:xfrm>
                    <a:prstGeom prst="rect">
                      <a:avLst/>
                    </a:prstGeom>
                    <a:noFill/>
                  </pic:spPr>
                </pic:pic>
              </a:graphicData>
            </a:graphic>
          </wp:inline>
        </w:drawing>
      </w:r>
    </w:p>
    <w:p w14:paraId="5B553817" w14:textId="01BA9779" w:rsidR="00E47B85" w:rsidRPr="00C15715" w:rsidRDefault="001121B4" w:rsidP="00E47B85">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r>
        <w:rPr>
          <w:rFonts w:eastAsiaTheme="majorEastAsia" w:cstheme="minorHAnsi"/>
          <w:b/>
          <w:iCs/>
          <w:noProof/>
          <w:sz w:val="20"/>
          <w:szCs w:val="24"/>
        </w:rPr>
        <w:t>28</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w:t>
      </w:r>
      <w:r>
        <w:rPr>
          <w:rFonts w:eastAsiaTheme="majorEastAsia" w:cstheme="minorHAnsi"/>
          <w:b/>
          <w:iCs/>
          <w:noProof/>
          <w:sz w:val="20"/>
          <w:szCs w:val="24"/>
        </w:rPr>
        <w:t xml:space="preserve"> </w:t>
      </w:r>
      <w:r w:rsidR="00E47B85">
        <w:rPr>
          <w:rFonts w:eastAsiaTheme="majorEastAsia" w:cstheme="minorHAnsi"/>
          <w:b/>
          <w:iCs/>
          <w:noProof/>
          <w:sz w:val="20"/>
          <w:szCs w:val="24"/>
        </w:rPr>
        <w:t xml:space="preserve">Degvielas </w:t>
      </w:r>
      <w:r w:rsidR="00E47B85" w:rsidRPr="00C15715">
        <w:rPr>
          <w:rFonts w:eastAsiaTheme="majorEastAsia" w:cstheme="minorHAnsi"/>
          <w:b/>
          <w:iCs/>
          <w:noProof/>
          <w:sz w:val="20"/>
          <w:szCs w:val="24"/>
        </w:rPr>
        <w:t>cenas galalietotājam komponenšu sadalījums</w:t>
      </w:r>
      <w:r w:rsidR="00E47B85" w:rsidRPr="00E47B85">
        <w:rPr>
          <w:rFonts w:eastAsiaTheme="majorEastAsia" w:cstheme="minorHAnsi"/>
          <w:b/>
          <w:iCs/>
          <w:noProof/>
          <w:sz w:val="20"/>
          <w:szCs w:val="24"/>
          <w:vertAlign w:val="superscript"/>
        </w:rPr>
        <w:footnoteReference w:id="47"/>
      </w:r>
    </w:p>
    <w:p w14:paraId="49AE8E67" w14:textId="77777777" w:rsidR="00D87276" w:rsidRPr="00C15715" w:rsidRDefault="00D87276" w:rsidP="00D87276">
      <w:pPr>
        <w:pStyle w:val="Heading30"/>
      </w:pPr>
      <w:r w:rsidRPr="00C15715">
        <w:t>Enerģijas subsīdiju apraksts</w:t>
      </w:r>
    </w:p>
    <w:p w14:paraId="4899E28E" w14:textId="77777777" w:rsidR="00D87276" w:rsidRPr="00C15715" w:rsidRDefault="00D87276" w:rsidP="00D87276">
      <w:pPr>
        <w:spacing w:before="120" w:after="120" w:line="240" w:lineRule="auto"/>
        <w:jc w:val="both"/>
        <w:rPr>
          <w:rFonts w:cstheme="minorHAnsi"/>
          <w:szCs w:val="24"/>
          <w:lang w:eastAsia="lv-LV"/>
        </w:rPr>
      </w:pPr>
      <w:r w:rsidRPr="00C15715">
        <w:rPr>
          <w:rFonts w:cstheme="minorHAnsi"/>
          <w:szCs w:val="24"/>
          <w:lang w:eastAsia="lv-LV"/>
        </w:rPr>
        <w:t>Saskaņā ar EK sniegto informāciju enerģijas subsīdijas ir:</w:t>
      </w:r>
    </w:p>
    <w:p w14:paraId="529532F5" w14:textId="77777777" w:rsidR="00D87276" w:rsidRPr="00C15715" w:rsidRDefault="00D87276" w:rsidP="00D87276">
      <w:pPr>
        <w:pStyle w:val="ListParagraph"/>
        <w:numPr>
          <w:ilvl w:val="0"/>
          <w:numId w:val="15"/>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Nodokļu izdevumi (izņēmumi un samazinājumi, nodokļu kredīti);</w:t>
      </w:r>
    </w:p>
    <w:p w14:paraId="40D0C4E2" w14:textId="77777777" w:rsidR="00D87276" w:rsidRPr="00C15715" w:rsidRDefault="00D87276" w:rsidP="00D87276">
      <w:pPr>
        <w:pStyle w:val="ListParagraph"/>
        <w:numPr>
          <w:ilvl w:val="0"/>
          <w:numId w:val="15"/>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 xml:space="preserve">Tiešie </w:t>
      </w:r>
      <w:proofErr w:type="spellStart"/>
      <w:r w:rsidRPr="00C15715">
        <w:rPr>
          <w:rFonts w:cstheme="minorHAnsi"/>
          <w:szCs w:val="24"/>
          <w:lang w:eastAsia="lv-LV"/>
        </w:rPr>
        <w:t>pārskaitījumi</w:t>
      </w:r>
      <w:proofErr w:type="spellEnd"/>
      <w:r w:rsidRPr="00C15715">
        <w:rPr>
          <w:rFonts w:cstheme="minorHAnsi"/>
          <w:szCs w:val="24"/>
          <w:lang w:eastAsia="lv-LV"/>
        </w:rPr>
        <w:t xml:space="preserve"> (granti, dotācijas, aizdevumi ar atvieglotiem nosacījumiem);</w:t>
      </w:r>
    </w:p>
    <w:p w14:paraId="241DF0D0" w14:textId="77777777" w:rsidR="00D87276" w:rsidRPr="00C15715" w:rsidRDefault="00D87276" w:rsidP="00D87276">
      <w:pPr>
        <w:pStyle w:val="ListParagraph"/>
        <w:numPr>
          <w:ilvl w:val="0"/>
          <w:numId w:val="15"/>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 xml:space="preserve">Netiešie </w:t>
      </w:r>
      <w:proofErr w:type="spellStart"/>
      <w:r w:rsidRPr="00C15715">
        <w:rPr>
          <w:rFonts w:cstheme="minorHAnsi"/>
          <w:szCs w:val="24"/>
          <w:lang w:eastAsia="lv-LV"/>
        </w:rPr>
        <w:t>pārskaitījumi</w:t>
      </w:r>
      <w:proofErr w:type="spellEnd"/>
      <w:r w:rsidRPr="00C15715">
        <w:rPr>
          <w:rFonts w:cstheme="minorHAnsi"/>
          <w:szCs w:val="24"/>
          <w:lang w:eastAsia="lv-LV"/>
        </w:rPr>
        <w:t xml:space="preserve"> (jaudas mehānismi).</w:t>
      </w:r>
    </w:p>
    <w:p w14:paraId="2BAC25D1" w14:textId="77777777" w:rsidR="00D87276" w:rsidRPr="00C15715" w:rsidRDefault="00D87276" w:rsidP="00D87276">
      <w:pPr>
        <w:pStyle w:val="Heading4"/>
      </w:pPr>
      <w:r w:rsidRPr="00C15715">
        <w:t>Nodokļu un nodevu izdevumi</w:t>
      </w:r>
    </w:p>
    <w:p w14:paraId="06339CFE" w14:textId="77777777" w:rsidR="00D87276" w:rsidRPr="00C15715" w:rsidRDefault="00D87276" w:rsidP="00D87276">
      <w:pPr>
        <w:spacing w:before="120" w:after="120" w:line="240" w:lineRule="auto"/>
        <w:jc w:val="both"/>
        <w:rPr>
          <w:rFonts w:cstheme="minorHAnsi"/>
          <w:szCs w:val="24"/>
          <w:u w:val="single"/>
        </w:rPr>
      </w:pPr>
      <w:r w:rsidRPr="00C15715">
        <w:rPr>
          <w:rFonts w:cstheme="minorHAnsi"/>
          <w:szCs w:val="24"/>
          <w:u w:val="single"/>
        </w:rPr>
        <w:t>Akcīzes nodoklis</w:t>
      </w:r>
    </w:p>
    <w:p w14:paraId="5FDADA2D" w14:textId="77777777" w:rsidR="00F97BC0" w:rsidRPr="00C15715" w:rsidRDefault="00F97BC0" w:rsidP="00F97BC0">
      <w:pPr>
        <w:spacing w:before="120" w:after="120" w:line="240" w:lineRule="auto"/>
        <w:jc w:val="both"/>
        <w:rPr>
          <w:rFonts w:cstheme="minorHAnsi"/>
          <w:szCs w:val="24"/>
        </w:rPr>
      </w:pPr>
      <w:r w:rsidRPr="00C15715">
        <w:rPr>
          <w:rFonts w:cstheme="minorHAnsi"/>
          <w:szCs w:val="24"/>
        </w:rPr>
        <w:t>Akcīzes nodokļa mērķis ir ierobežot to preču patēriņu, kas ir kaitīgas apkārtējai videi un cilvēk</w:t>
      </w:r>
      <w:r>
        <w:rPr>
          <w:rFonts w:cstheme="minorHAnsi"/>
          <w:szCs w:val="24"/>
        </w:rPr>
        <w:t>u veselībai</w:t>
      </w:r>
      <w:r w:rsidRPr="00C15715">
        <w:rPr>
          <w:rFonts w:cstheme="minorHAnsi"/>
          <w:szCs w:val="24"/>
        </w:rPr>
        <w:t xml:space="preserve">. Šobrīd akcīzes nodoklis tiek piemērots naftas produktiem un dabasgāzei. Akcīzes nodoklis netiek piemērots oglēm un citiem fosilajiem kurināmajiem, kā arī kūdrai. </w:t>
      </w:r>
      <w:r>
        <w:rPr>
          <w:rFonts w:cstheme="minorHAnsi"/>
          <w:szCs w:val="24"/>
        </w:rPr>
        <w:t xml:space="preserve">Tajā pat laikā par </w:t>
      </w:r>
      <w:r w:rsidRPr="00C15715">
        <w:rPr>
          <w:rFonts w:cstheme="minorHAnsi"/>
          <w:szCs w:val="24"/>
        </w:rPr>
        <w:t>og</w:t>
      </w:r>
      <w:r>
        <w:rPr>
          <w:rFonts w:cstheme="minorHAnsi"/>
          <w:szCs w:val="24"/>
        </w:rPr>
        <w:t>lēm</w:t>
      </w:r>
      <w:r w:rsidRPr="00C15715">
        <w:rPr>
          <w:rFonts w:cstheme="minorHAnsi"/>
          <w:szCs w:val="24"/>
        </w:rPr>
        <w:t xml:space="preserve"> </w:t>
      </w:r>
      <w:r>
        <w:rPr>
          <w:rFonts w:cstheme="minorHAnsi"/>
          <w:szCs w:val="24"/>
        </w:rPr>
        <w:t>ir jāmaksā</w:t>
      </w:r>
      <w:r w:rsidRPr="00C15715">
        <w:rPr>
          <w:rFonts w:cstheme="minorHAnsi"/>
          <w:szCs w:val="24"/>
        </w:rPr>
        <w:t xml:space="preserve"> dabas resursu nodoklis. Šobrīd dažādiem naftas produktiem un dabasgāzei</w:t>
      </w:r>
      <w:r>
        <w:rPr>
          <w:rFonts w:cstheme="minorHAnsi"/>
          <w:szCs w:val="24"/>
        </w:rPr>
        <w:t xml:space="preserve"> atkarībā no izmantošanas mērķa</w:t>
      </w:r>
      <w:r w:rsidRPr="00C15715">
        <w:rPr>
          <w:rFonts w:cstheme="minorHAnsi"/>
          <w:szCs w:val="24"/>
        </w:rPr>
        <w:t xml:space="preserve"> tiek piemērotas atšķirīgas akcīzes nodokļa likmes.</w:t>
      </w:r>
    </w:p>
    <w:p w14:paraId="6426946F" w14:textId="728EBDEF" w:rsidR="00D87276" w:rsidRPr="00C15715" w:rsidRDefault="00D87276" w:rsidP="00D87276">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1121B4">
        <w:rPr>
          <w:rFonts w:asciiTheme="minorHAnsi" w:hAnsiTheme="minorHAnsi" w:cstheme="minorHAnsi"/>
          <w:noProof/>
          <w:szCs w:val="24"/>
        </w:rPr>
        <w:t>8</w:t>
      </w:r>
      <w:r w:rsidRPr="00C15715">
        <w:rPr>
          <w:rFonts w:asciiTheme="minorHAnsi" w:hAnsiTheme="minorHAnsi" w:cstheme="minorHAnsi"/>
          <w:szCs w:val="24"/>
        </w:rPr>
        <w:fldChar w:fldCharType="end"/>
      </w:r>
      <w:r w:rsidRPr="00C15715">
        <w:rPr>
          <w:rFonts w:asciiTheme="minorHAnsi" w:hAnsiTheme="minorHAnsi" w:cstheme="minorHAnsi"/>
        </w:rPr>
        <w:t>.Akcīzes nodokļa likmes dabasgāzei un naftas produktiem 2019.gadā (EUR)</w:t>
      </w:r>
    </w:p>
    <w:tbl>
      <w:tblPr>
        <w:tblW w:w="9796" w:type="dxa"/>
        <w:jc w:val="center"/>
        <w:tblLook w:val="04A0" w:firstRow="1" w:lastRow="0" w:firstColumn="1" w:lastColumn="0" w:noHBand="0" w:noVBand="1"/>
      </w:tblPr>
      <w:tblGrid>
        <w:gridCol w:w="6374"/>
        <w:gridCol w:w="1701"/>
        <w:gridCol w:w="1721"/>
      </w:tblGrid>
      <w:tr w:rsidR="00D87276" w:rsidRPr="00C15715" w14:paraId="494ED7D9" w14:textId="77777777" w:rsidTr="00F97BC0">
        <w:trPr>
          <w:trHeight w:val="63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195C0A" w14:textId="77777777" w:rsidR="00D87276" w:rsidRPr="00C15715" w:rsidRDefault="00D87276" w:rsidP="001121B4">
            <w:pPr>
              <w:spacing w:after="0" w:line="240" w:lineRule="auto"/>
              <w:rPr>
                <w:rFonts w:eastAsia="Times New Roman" w:cstheme="minorHAnsi"/>
                <w:szCs w:val="24"/>
                <w:lang w:eastAsia="lv-LV"/>
              </w:rPr>
            </w:pPr>
            <w:r w:rsidRPr="00C15715">
              <w:rPr>
                <w:rFonts w:eastAsia="Times New Roman" w:cstheme="minorHAnsi"/>
                <w:szCs w:val="24"/>
                <w:lang w:eastAsia="lv-LV"/>
              </w:rPr>
              <w:t>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ECACD2" w14:textId="77777777" w:rsidR="00D87276" w:rsidRPr="00C15715" w:rsidRDefault="00D87276" w:rsidP="001121B4">
            <w:pPr>
              <w:spacing w:after="0" w:line="240" w:lineRule="auto"/>
              <w:jc w:val="center"/>
              <w:rPr>
                <w:rFonts w:eastAsia="Times New Roman" w:cstheme="minorHAnsi"/>
                <w:szCs w:val="24"/>
                <w:lang w:eastAsia="lv-LV"/>
              </w:rPr>
            </w:pPr>
            <w:r w:rsidRPr="00C15715">
              <w:rPr>
                <w:rFonts w:eastAsia="Times New Roman" w:cstheme="minorHAnsi"/>
                <w:szCs w:val="24"/>
                <w:lang w:eastAsia="lv-LV"/>
              </w:rPr>
              <w:t>spēkā esošā akcīzes nodokļa likme</w:t>
            </w:r>
          </w:p>
        </w:tc>
        <w:tc>
          <w:tcPr>
            <w:tcW w:w="17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CAECF2E" w14:textId="77777777" w:rsidR="00D87276" w:rsidRPr="00C15715" w:rsidRDefault="00D87276" w:rsidP="001121B4">
            <w:pPr>
              <w:spacing w:after="0" w:line="240" w:lineRule="auto"/>
              <w:jc w:val="center"/>
              <w:rPr>
                <w:rFonts w:eastAsia="Times New Roman" w:cstheme="minorHAnsi"/>
                <w:szCs w:val="24"/>
                <w:lang w:eastAsia="lv-LV"/>
              </w:rPr>
            </w:pPr>
            <w:r w:rsidRPr="00C15715">
              <w:rPr>
                <w:rFonts w:eastAsia="Times New Roman" w:cstheme="minorHAnsi"/>
                <w:szCs w:val="24"/>
                <w:lang w:eastAsia="lv-LV"/>
              </w:rPr>
              <w:t>akcīzes nodokļa likme no 01.01.2020</w:t>
            </w:r>
          </w:p>
        </w:tc>
      </w:tr>
      <w:tr w:rsidR="00F97BC0" w:rsidRPr="00C15715" w14:paraId="0B9C6DFE"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0BB8C40" w14:textId="77777777" w:rsidR="00F97BC0" w:rsidRPr="00C15715" w:rsidRDefault="00F97BC0"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 xml:space="preserve">dabasgāzes izmantošanai par kurināmo (par 1 </w:t>
            </w:r>
            <w:proofErr w:type="spellStart"/>
            <w:r w:rsidRPr="00C15715">
              <w:rPr>
                <w:rFonts w:eastAsia="Times New Roman" w:cstheme="minorHAnsi"/>
                <w:color w:val="000000"/>
                <w:szCs w:val="24"/>
                <w:lang w:eastAsia="lv-LV"/>
              </w:rPr>
              <w:t>MWh</w:t>
            </w:r>
            <w:proofErr w:type="spellEnd"/>
            <w:r w:rsidRPr="00C15715">
              <w:rPr>
                <w:rFonts w:eastAsia="Times New Roman" w:cstheme="minorHAnsi"/>
                <w:color w:val="000000"/>
                <w:szCs w:val="24"/>
                <w:lang w:eastAsia="lv-LV"/>
              </w:rPr>
              <w:t>)</w:t>
            </w:r>
          </w:p>
        </w:tc>
        <w:tc>
          <w:tcPr>
            <w:tcW w:w="1701" w:type="dxa"/>
            <w:tcBorders>
              <w:top w:val="nil"/>
              <w:left w:val="nil"/>
              <w:bottom w:val="single" w:sz="4" w:space="0" w:color="auto"/>
              <w:right w:val="single" w:sz="4" w:space="0" w:color="auto"/>
            </w:tcBorders>
            <w:shd w:val="clear" w:color="auto" w:fill="auto"/>
            <w:vAlign w:val="center"/>
            <w:hideMark/>
          </w:tcPr>
          <w:p w14:paraId="66006D15" w14:textId="77777777" w:rsidR="00F97BC0" w:rsidRPr="00C15715" w:rsidRDefault="00F97BC0"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c>
          <w:tcPr>
            <w:tcW w:w="1721" w:type="dxa"/>
            <w:tcBorders>
              <w:top w:val="nil"/>
              <w:left w:val="nil"/>
              <w:bottom w:val="single" w:sz="4" w:space="0" w:color="auto"/>
              <w:right w:val="single" w:sz="4" w:space="0" w:color="auto"/>
            </w:tcBorders>
            <w:shd w:val="clear" w:color="auto" w:fill="auto"/>
            <w:noWrap/>
            <w:vAlign w:val="center"/>
            <w:hideMark/>
          </w:tcPr>
          <w:p w14:paraId="3965A5F5" w14:textId="3DF27D27" w:rsidR="00F97BC0" w:rsidRPr="00C15715" w:rsidRDefault="00F97BC0"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r>
      <w:tr w:rsidR="00F97BC0" w:rsidRPr="00C15715" w14:paraId="1DD94756"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B344F6A" w14:textId="77777777" w:rsidR="00F97BC0" w:rsidRPr="00C15715" w:rsidRDefault="00F97BC0"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 xml:space="preserve">dabasgāzes izmantošanai par degvielu (par 1 </w:t>
            </w:r>
            <w:proofErr w:type="spellStart"/>
            <w:r w:rsidRPr="00C15715">
              <w:rPr>
                <w:rFonts w:eastAsia="Times New Roman" w:cstheme="minorHAnsi"/>
                <w:color w:val="000000"/>
                <w:szCs w:val="24"/>
                <w:lang w:eastAsia="lv-LV"/>
              </w:rPr>
              <w:t>MWh</w:t>
            </w:r>
            <w:proofErr w:type="spellEnd"/>
            <w:r w:rsidRPr="00C15715">
              <w:rPr>
                <w:rFonts w:eastAsia="Times New Roman" w:cstheme="minorHAnsi"/>
                <w:color w:val="000000"/>
                <w:szCs w:val="24"/>
                <w:lang w:eastAsia="lv-LV"/>
              </w:rPr>
              <w:t>)</w:t>
            </w:r>
          </w:p>
        </w:tc>
        <w:tc>
          <w:tcPr>
            <w:tcW w:w="1701" w:type="dxa"/>
            <w:tcBorders>
              <w:top w:val="nil"/>
              <w:left w:val="nil"/>
              <w:bottom w:val="single" w:sz="4" w:space="0" w:color="auto"/>
              <w:right w:val="single" w:sz="4" w:space="0" w:color="auto"/>
            </w:tcBorders>
            <w:shd w:val="clear" w:color="auto" w:fill="auto"/>
            <w:vAlign w:val="center"/>
            <w:hideMark/>
          </w:tcPr>
          <w:p w14:paraId="70D75A70" w14:textId="77777777" w:rsidR="00F97BC0" w:rsidRPr="00C15715" w:rsidRDefault="00F97BC0"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c>
          <w:tcPr>
            <w:tcW w:w="1721" w:type="dxa"/>
            <w:tcBorders>
              <w:top w:val="nil"/>
              <w:left w:val="nil"/>
              <w:bottom w:val="single" w:sz="4" w:space="0" w:color="auto"/>
              <w:right w:val="single" w:sz="4" w:space="0" w:color="auto"/>
            </w:tcBorders>
            <w:shd w:val="clear" w:color="auto" w:fill="auto"/>
            <w:noWrap/>
            <w:vAlign w:val="center"/>
            <w:hideMark/>
          </w:tcPr>
          <w:p w14:paraId="10B57F17" w14:textId="242A6AD0" w:rsidR="00F97BC0" w:rsidRPr="00C15715" w:rsidRDefault="00F97BC0"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r>
      <w:tr w:rsidR="00F97BC0" w:rsidRPr="00C15715" w14:paraId="6395A436" w14:textId="77777777" w:rsidTr="00F97BC0">
        <w:trPr>
          <w:trHeight w:val="152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39267A3" w14:textId="77777777" w:rsidR="00F97BC0" w:rsidRPr="00C15715" w:rsidRDefault="00F97BC0"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 xml:space="preserve">dabasgāzes izmantošanai par kurināmo rūpnieciskās ražošanas un citos ar ražošanu saistītos procesos, lauksaimniecības izejvielu pirmapstrādes tehnoloģisko iekārtu darbināšanai un tehnoloģiski nepieciešamā klimata nodrošināšanai rūpnieciskās ražošanas un lauksaimniecības izejvielu pirmapstrādes telpās (par 1 </w:t>
            </w:r>
            <w:proofErr w:type="spellStart"/>
            <w:r w:rsidRPr="00C15715">
              <w:rPr>
                <w:rFonts w:eastAsia="Times New Roman" w:cstheme="minorHAnsi"/>
                <w:color w:val="000000"/>
                <w:szCs w:val="24"/>
                <w:lang w:eastAsia="lv-LV"/>
              </w:rPr>
              <w:t>MWh</w:t>
            </w:r>
            <w:proofErr w:type="spellEnd"/>
            <w:r w:rsidRPr="00C15715">
              <w:rPr>
                <w:rFonts w:eastAsia="Times New Roman" w:cstheme="minorHAnsi"/>
                <w:color w:val="000000"/>
                <w:szCs w:val="24"/>
                <w:lang w:eastAsia="lv-LV"/>
              </w:rPr>
              <w:t>)</w:t>
            </w:r>
          </w:p>
        </w:tc>
        <w:tc>
          <w:tcPr>
            <w:tcW w:w="1701" w:type="dxa"/>
            <w:tcBorders>
              <w:top w:val="nil"/>
              <w:left w:val="nil"/>
              <w:bottom w:val="single" w:sz="4" w:space="0" w:color="auto"/>
              <w:right w:val="single" w:sz="4" w:space="0" w:color="auto"/>
            </w:tcBorders>
            <w:shd w:val="clear" w:color="auto" w:fill="auto"/>
            <w:vAlign w:val="center"/>
            <w:hideMark/>
          </w:tcPr>
          <w:p w14:paraId="129EB74D" w14:textId="77777777" w:rsidR="00F97BC0" w:rsidRPr="00C15715" w:rsidRDefault="00F97BC0"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c>
          <w:tcPr>
            <w:tcW w:w="1721" w:type="dxa"/>
            <w:tcBorders>
              <w:top w:val="nil"/>
              <w:left w:val="nil"/>
              <w:bottom w:val="single" w:sz="4" w:space="0" w:color="auto"/>
              <w:right w:val="single" w:sz="4" w:space="0" w:color="auto"/>
            </w:tcBorders>
            <w:shd w:val="clear" w:color="auto" w:fill="auto"/>
            <w:noWrap/>
            <w:vAlign w:val="center"/>
            <w:hideMark/>
          </w:tcPr>
          <w:p w14:paraId="6DEACBB4" w14:textId="4D7B96B2" w:rsidR="00F97BC0" w:rsidRPr="00C15715" w:rsidRDefault="00F97BC0"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r>
      <w:tr w:rsidR="00D87276" w:rsidRPr="00C15715" w14:paraId="4242665E"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EC99423"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Svinu nesaturošais benzīns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64511D5"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476</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72C9C974"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509</w:t>
            </w:r>
          </w:p>
        </w:tc>
      </w:tr>
      <w:tr w:rsidR="00D87276" w:rsidRPr="00C15715" w14:paraId="778CC626" w14:textId="77777777" w:rsidTr="00F97BC0">
        <w:trPr>
          <w:trHeight w:val="63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85E0E7A"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Svinu nesaturošais benzīns, kuram tiek pievienots etilspirts (</w:t>
            </w:r>
            <w:proofErr w:type="spellStart"/>
            <w:r w:rsidRPr="00C15715">
              <w:rPr>
                <w:rFonts w:eastAsia="Times New Roman" w:cstheme="minorHAnsi"/>
                <w:color w:val="000000"/>
                <w:szCs w:val="24"/>
                <w:lang w:eastAsia="lv-LV"/>
              </w:rPr>
              <w:t>bio</w:t>
            </w:r>
            <w:proofErr w:type="spellEnd"/>
            <w:r w:rsidRPr="00C15715">
              <w:rPr>
                <w:rFonts w:eastAsia="Times New Roman" w:cstheme="minorHAnsi"/>
                <w:color w:val="000000"/>
                <w:szCs w:val="24"/>
                <w:lang w:eastAsia="lv-LV"/>
              </w:rPr>
              <w:t xml:space="preserve"> 5%) (par 1000 l)</w:t>
            </w:r>
            <w:r w:rsidRPr="00C15715">
              <w:rPr>
                <w:rStyle w:val="FootnoteReference"/>
                <w:rFonts w:eastAsia="Times New Roman" w:cstheme="minorHAnsi"/>
                <w:color w:val="000000"/>
                <w:szCs w:val="24"/>
                <w:lang w:eastAsia="lv-LV"/>
              </w:rPr>
              <w:footnoteReference w:id="48"/>
            </w:r>
          </w:p>
        </w:tc>
        <w:tc>
          <w:tcPr>
            <w:tcW w:w="1701" w:type="dxa"/>
            <w:vMerge/>
            <w:tcBorders>
              <w:top w:val="nil"/>
              <w:left w:val="single" w:sz="4" w:space="0" w:color="auto"/>
              <w:bottom w:val="single" w:sz="4" w:space="0" w:color="auto"/>
              <w:right w:val="single" w:sz="4" w:space="0" w:color="auto"/>
            </w:tcBorders>
            <w:vAlign w:val="center"/>
            <w:hideMark/>
          </w:tcPr>
          <w:p w14:paraId="1B5E0822" w14:textId="77777777" w:rsidR="00D87276" w:rsidRPr="00C15715" w:rsidRDefault="00D87276" w:rsidP="001121B4">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016AC178" w14:textId="77777777" w:rsidR="00D87276" w:rsidRPr="00C15715" w:rsidRDefault="00D87276" w:rsidP="001121B4">
            <w:pPr>
              <w:spacing w:after="0" w:line="240" w:lineRule="auto"/>
              <w:rPr>
                <w:rFonts w:eastAsia="Times New Roman" w:cstheme="minorHAnsi"/>
                <w:color w:val="000000"/>
                <w:szCs w:val="24"/>
                <w:lang w:eastAsia="lv-LV"/>
              </w:rPr>
            </w:pPr>
          </w:p>
        </w:tc>
      </w:tr>
      <w:tr w:rsidR="00D87276" w:rsidRPr="00C15715" w14:paraId="54A4AE2A" w14:textId="77777777" w:rsidTr="00F97BC0">
        <w:trPr>
          <w:trHeight w:val="511"/>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E9A8A6D"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lastRenderedPageBreak/>
              <w:t>Svinu nesaturošais benzīns, kuram tiek pievienots etilspirts (E 85)</w:t>
            </w:r>
            <w:r w:rsidRPr="00C15715">
              <w:rPr>
                <w:rStyle w:val="FootnoteReference"/>
                <w:rFonts w:eastAsia="Times New Roman" w:cstheme="minorHAnsi"/>
                <w:color w:val="000000"/>
                <w:szCs w:val="24"/>
                <w:lang w:eastAsia="lv-LV"/>
              </w:rPr>
              <w:footnoteReference w:id="49"/>
            </w:r>
            <w:r w:rsidRPr="00C15715">
              <w:rPr>
                <w:rFonts w:eastAsia="Times New Roman" w:cstheme="minorHAnsi"/>
                <w:color w:val="000000"/>
                <w:szCs w:val="24"/>
                <w:lang w:eastAsia="lv-LV"/>
              </w:rPr>
              <w:t xml:space="preserve"> (par 1000 l)</w:t>
            </w:r>
            <w:r w:rsidRPr="00C15715">
              <w:rPr>
                <w:rStyle w:val="FootnoteReference"/>
                <w:rFonts w:eastAsia="Times New Roman" w:cstheme="minorHAnsi"/>
                <w:color w:val="000000"/>
                <w:szCs w:val="24"/>
                <w:lang w:eastAsia="lv-LV"/>
              </w:rPr>
              <w:footnoteReference w:id="50"/>
            </w:r>
          </w:p>
        </w:tc>
        <w:tc>
          <w:tcPr>
            <w:tcW w:w="1701" w:type="dxa"/>
            <w:tcBorders>
              <w:top w:val="nil"/>
              <w:left w:val="nil"/>
              <w:bottom w:val="single" w:sz="4" w:space="0" w:color="auto"/>
              <w:right w:val="single" w:sz="4" w:space="0" w:color="auto"/>
            </w:tcBorders>
            <w:shd w:val="clear" w:color="auto" w:fill="auto"/>
            <w:vAlign w:val="center"/>
            <w:hideMark/>
          </w:tcPr>
          <w:p w14:paraId="39BD6F42"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142,8</w:t>
            </w:r>
            <w:r w:rsidRPr="00C15715">
              <w:rPr>
                <w:rStyle w:val="FootnoteReference"/>
                <w:rFonts w:eastAsia="Times New Roman" w:cstheme="minorHAnsi"/>
                <w:color w:val="000000"/>
                <w:szCs w:val="24"/>
                <w:lang w:eastAsia="lv-LV"/>
              </w:rPr>
              <w:footnoteReference w:id="51"/>
            </w:r>
          </w:p>
        </w:tc>
        <w:tc>
          <w:tcPr>
            <w:tcW w:w="1721" w:type="dxa"/>
            <w:tcBorders>
              <w:top w:val="nil"/>
              <w:left w:val="nil"/>
              <w:bottom w:val="single" w:sz="4" w:space="0" w:color="auto"/>
              <w:right w:val="single" w:sz="4" w:space="0" w:color="auto"/>
            </w:tcBorders>
            <w:shd w:val="clear" w:color="auto" w:fill="auto"/>
            <w:vAlign w:val="center"/>
            <w:hideMark/>
          </w:tcPr>
          <w:p w14:paraId="336213F7"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152,7</w:t>
            </w:r>
            <w:r w:rsidRPr="00C15715">
              <w:rPr>
                <w:rStyle w:val="FootnoteReference"/>
                <w:rFonts w:eastAsia="Times New Roman" w:cstheme="minorHAnsi"/>
                <w:color w:val="000000"/>
                <w:szCs w:val="24"/>
                <w:lang w:eastAsia="lv-LV"/>
              </w:rPr>
              <w:footnoteReference w:id="52"/>
            </w:r>
          </w:p>
        </w:tc>
      </w:tr>
      <w:tr w:rsidR="00D87276" w:rsidRPr="00C15715" w14:paraId="5353FC90"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CBA6D61"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Svinu saturošais benzīns (par 1000 l)</w:t>
            </w:r>
          </w:p>
        </w:tc>
        <w:tc>
          <w:tcPr>
            <w:tcW w:w="1701" w:type="dxa"/>
            <w:tcBorders>
              <w:top w:val="nil"/>
              <w:left w:val="nil"/>
              <w:bottom w:val="single" w:sz="4" w:space="0" w:color="auto"/>
              <w:right w:val="single" w:sz="4" w:space="0" w:color="auto"/>
            </w:tcBorders>
            <w:shd w:val="clear" w:color="auto" w:fill="auto"/>
            <w:vAlign w:val="center"/>
            <w:hideMark/>
          </w:tcPr>
          <w:p w14:paraId="27030033"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c>
          <w:tcPr>
            <w:tcW w:w="1721" w:type="dxa"/>
            <w:tcBorders>
              <w:top w:val="nil"/>
              <w:left w:val="nil"/>
              <w:bottom w:val="single" w:sz="4" w:space="0" w:color="auto"/>
              <w:right w:val="single" w:sz="4" w:space="0" w:color="auto"/>
            </w:tcBorders>
            <w:shd w:val="clear" w:color="auto" w:fill="auto"/>
            <w:noWrap/>
            <w:vAlign w:val="center"/>
            <w:hideMark/>
          </w:tcPr>
          <w:p w14:paraId="392B75D3"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r>
      <w:tr w:rsidR="00D87276" w:rsidRPr="00C15715" w14:paraId="3FC72EB2"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80D0324"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Dīzeļdegviela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63E6C53"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23CE6360"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D87276" w:rsidRPr="00C15715" w14:paraId="160BCA61"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7572DD1"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 xml:space="preserve">Dīzeļdegviela </w:t>
            </w:r>
            <w:proofErr w:type="spellStart"/>
            <w:r w:rsidRPr="00C15715">
              <w:rPr>
                <w:rFonts w:eastAsia="Times New Roman" w:cstheme="minorHAnsi"/>
                <w:color w:val="000000"/>
                <w:szCs w:val="24"/>
                <w:lang w:eastAsia="lv-LV"/>
              </w:rPr>
              <w:t>bio</w:t>
            </w:r>
            <w:proofErr w:type="spellEnd"/>
            <w:r w:rsidRPr="00C15715">
              <w:rPr>
                <w:rFonts w:eastAsia="Times New Roman" w:cstheme="minorHAnsi"/>
                <w:color w:val="000000"/>
                <w:szCs w:val="24"/>
                <w:lang w:eastAsia="lv-LV"/>
              </w:rPr>
              <w:t xml:space="preserve"> (5%-30% (par 1000 l))</w:t>
            </w:r>
            <w:r w:rsidRPr="00C15715">
              <w:rPr>
                <w:rStyle w:val="FootnoteReference"/>
                <w:rFonts w:eastAsia="Times New Roman" w:cstheme="minorHAnsi"/>
                <w:color w:val="000000"/>
                <w:szCs w:val="24"/>
                <w:lang w:eastAsia="lv-LV"/>
              </w:rPr>
              <w:footnoteReference w:id="53"/>
            </w:r>
          </w:p>
        </w:tc>
        <w:tc>
          <w:tcPr>
            <w:tcW w:w="1701" w:type="dxa"/>
            <w:vMerge/>
            <w:tcBorders>
              <w:top w:val="nil"/>
              <w:left w:val="single" w:sz="4" w:space="0" w:color="auto"/>
              <w:bottom w:val="single" w:sz="4" w:space="0" w:color="auto"/>
              <w:right w:val="single" w:sz="4" w:space="0" w:color="auto"/>
            </w:tcBorders>
            <w:vAlign w:val="center"/>
            <w:hideMark/>
          </w:tcPr>
          <w:p w14:paraId="46858BE2" w14:textId="77777777" w:rsidR="00D87276" w:rsidRPr="00C15715" w:rsidRDefault="00D87276" w:rsidP="001121B4">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0C543898" w14:textId="77777777" w:rsidR="00D87276" w:rsidRPr="00C15715" w:rsidRDefault="00D87276" w:rsidP="001121B4">
            <w:pPr>
              <w:spacing w:after="0" w:line="240" w:lineRule="auto"/>
              <w:rPr>
                <w:rFonts w:eastAsia="Times New Roman" w:cstheme="minorHAnsi"/>
                <w:color w:val="000000"/>
                <w:szCs w:val="24"/>
                <w:lang w:eastAsia="lv-LV"/>
              </w:rPr>
            </w:pPr>
          </w:p>
        </w:tc>
      </w:tr>
      <w:tr w:rsidR="00D87276" w:rsidRPr="00C15715" w14:paraId="61438E0F"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D5FB6B1"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 xml:space="preserve">Dīzeļdegviela ar </w:t>
            </w:r>
            <w:proofErr w:type="spellStart"/>
            <w:r w:rsidRPr="00C15715">
              <w:rPr>
                <w:rFonts w:eastAsia="Times New Roman" w:cstheme="minorHAnsi"/>
                <w:color w:val="000000"/>
                <w:szCs w:val="24"/>
                <w:lang w:eastAsia="lv-LV"/>
              </w:rPr>
              <w:t>bio</w:t>
            </w:r>
            <w:proofErr w:type="spellEnd"/>
            <w:r w:rsidRPr="00C15715">
              <w:rPr>
                <w:rFonts w:eastAsia="Times New Roman" w:cstheme="minorHAnsi"/>
                <w:color w:val="000000"/>
                <w:szCs w:val="24"/>
                <w:lang w:eastAsia="lv-LV"/>
              </w:rPr>
              <w:t xml:space="preserve"> piejaukumu vismaz 30% (par 1000 l)</w:t>
            </w:r>
            <w:r w:rsidRPr="00C15715">
              <w:rPr>
                <w:rStyle w:val="FootnoteReference"/>
                <w:rFonts w:eastAsia="Times New Roman" w:cstheme="minorHAnsi"/>
                <w:color w:val="000000"/>
                <w:szCs w:val="24"/>
                <w:lang w:eastAsia="lv-LV"/>
              </w:rPr>
              <w:footnoteReference w:id="54"/>
            </w:r>
          </w:p>
        </w:tc>
        <w:tc>
          <w:tcPr>
            <w:tcW w:w="1701" w:type="dxa"/>
            <w:vMerge/>
            <w:tcBorders>
              <w:top w:val="nil"/>
              <w:left w:val="single" w:sz="4" w:space="0" w:color="auto"/>
              <w:bottom w:val="single" w:sz="4" w:space="0" w:color="auto"/>
              <w:right w:val="single" w:sz="4" w:space="0" w:color="auto"/>
            </w:tcBorders>
            <w:vAlign w:val="center"/>
            <w:hideMark/>
          </w:tcPr>
          <w:p w14:paraId="3BF07AC5" w14:textId="77777777" w:rsidR="00D87276" w:rsidRPr="00C15715" w:rsidRDefault="00D87276" w:rsidP="001121B4">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13A2A293" w14:textId="77777777" w:rsidR="00D87276" w:rsidRPr="00C15715" w:rsidRDefault="00D87276" w:rsidP="001121B4">
            <w:pPr>
              <w:spacing w:after="0" w:line="240" w:lineRule="auto"/>
              <w:rPr>
                <w:rFonts w:eastAsia="Times New Roman" w:cstheme="minorHAnsi"/>
                <w:color w:val="000000"/>
                <w:szCs w:val="24"/>
                <w:lang w:eastAsia="lv-LV"/>
              </w:rPr>
            </w:pPr>
          </w:p>
        </w:tc>
      </w:tr>
      <w:tr w:rsidR="00D87276" w:rsidRPr="00C15715" w14:paraId="02E0928E"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7ADB92D"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Biodīzeļdegviela (par 1000 l)</w:t>
            </w:r>
            <w:r w:rsidRPr="00C15715">
              <w:rPr>
                <w:rStyle w:val="FootnoteReference"/>
                <w:rFonts w:eastAsia="Times New Roman" w:cstheme="minorHAnsi"/>
                <w:color w:val="000000"/>
                <w:szCs w:val="24"/>
                <w:lang w:eastAsia="lv-LV"/>
              </w:rPr>
              <w:footnoteReference w:id="55"/>
            </w:r>
          </w:p>
        </w:tc>
        <w:tc>
          <w:tcPr>
            <w:tcW w:w="1701" w:type="dxa"/>
            <w:tcBorders>
              <w:top w:val="nil"/>
              <w:left w:val="nil"/>
              <w:bottom w:val="single" w:sz="4" w:space="0" w:color="auto"/>
              <w:right w:val="single" w:sz="4" w:space="0" w:color="auto"/>
            </w:tcBorders>
            <w:shd w:val="clear" w:color="auto" w:fill="auto"/>
            <w:vAlign w:val="center"/>
            <w:hideMark/>
          </w:tcPr>
          <w:p w14:paraId="5EA5EA7B" w14:textId="52FBA7FC" w:rsidR="00D87276" w:rsidRPr="00C15715" w:rsidRDefault="00F97BC0" w:rsidP="001121B4">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0</w:t>
            </w:r>
            <w:r w:rsidR="00D87276" w:rsidRPr="00C15715">
              <w:rPr>
                <w:rFonts w:eastAsia="Times New Roman" w:cstheme="minorHAnsi"/>
                <w:color w:val="000000"/>
                <w:szCs w:val="24"/>
                <w:lang w:eastAsia="lv-LV"/>
              </w:rPr>
              <w:t> </w:t>
            </w:r>
          </w:p>
        </w:tc>
        <w:tc>
          <w:tcPr>
            <w:tcW w:w="1721" w:type="dxa"/>
            <w:tcBorders>
              <w:top w:val="nil"/>
              <w:left w:val="nil"/>
              <w:bottom w:val="single" w:sz="4" w:space="0" w:color="auto"/>
              <w:right w:val="single" w:sz="4" w:space="0" w:color="auto"/>
            </w:tcBorders>
            <w:shd w:val="clear" w:color="auto" w:fill="auto"/>
            <w:noWrap/>
            <w:vAlign w:val="center"/>
            <w:hideMark/>
          </w:tcPr>
          <w:p w14:paraId="1E2169B2"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w:t>
            </w:r>
          </w:p>
        </w:tc>
      </w:tr>
      <w:tr w:rsidR="00D87276" w:rsidRPr="00C15715" w14:paraId="0B9E6C62"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C631099"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Petroleja (par 1000 l)</w:t>
            </w:r>
          </w:p>
        </w:tc>
        <w:tc>
          <w:tcPr>
            <w:tcW w:w="1701" w:type="dxa"/>
            <w:tcBorders>
              <w:top w:val="nil"/>
              <w:left w:val="nil"/>
              <w:bottom w:val="single" w:sz="4" w:space="0" w:color="auto"/>
              <w:right w:val="single" w:sz="4" w:space="0" w:color="auto"/>
            </w:tcBorders>
            <w:shd w:val="clear" w:color="auto" w:fill="auto"/>
            <w:vAlign w:val="center"/>
            <w:hideMark/>
          </w:tcPr>
          <w:p w14:paraId="7F80B491"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079C20AE"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D87276" w:rsidRPr="00C15715" w14:paraId="7DB6E46D"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7B0B5C8"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Degvieleļļa (par 1000 kg)</w:t>
            </w:r>
          </w:p>
        </w:tc>
        <w:tc>
          <w:tcPr>
            <w:tcW w:w="1701" w:type="dxa"/>
            <w:tcBorders>
              <w:top w:val="nil"/>
              <w:left w:val="nil"/>
              <w:bottom w:val="single" w:sz="4" w:space="0" w:color="auto"/>
              <w:right w:val="single" w:sz="4" w:space="0" w:color="auto"/>
            </w:tcBorders>
            <w:shd w:val="clear" w:color="auto" w:fill="auto"/>
            <w:noWrap/>
            <w:vAlign w:val="center"/>
            <w:hideMark/>
          </w:tcPr>
          <w:p w14:paraId="313A8CC1"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c>
          <w:tcPr>
            <w:tcW w:w="1721" w:type="dxa"/>
            <w:tcBorders>
              <w:top w:val="nil"/>
              <w:left w:val="nil"/>
              <w:bottom w:val="single" w:sz="4" w:space="0" w:color="auto"/>
              <w:right w:val="single" w:sz="4" w:space="0" w:color="auto"/>
            </w:tcBorders>
            <w:shd w:val="clear" w:color="auto" w:fill="auto"/>
            <w:noWrap/>
            <w:vAlign w:val="center"/>
            <w:hideMark/>
          </w:tcPr>
          <w:p w14:paraId="2E368C73"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r>
      <w:tr w:rsidR="00D87276" w:rsidRPr="00C15715" w14:paraId="7EA1C565"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C6622D4" w14:textId="41E64ABA"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Degvieleļļa (</w:t>
            </w:r>
            <w:r w:rsidR="00F97BC0">
              <w:rPr>
                <w:rFonts w:eastAsia="Times New Roman" w:cstheme="minorHAnsi"/>
                <w:color w:val="000000"/>
                <w:szCs w:val="24"/>
                <w:lang w:eastAsia="lv-LV"/>
              </w:rPr>
              <w:t>mazuts) (</w:t>
            </w:r>
            <w:r w:rsidRPr="00C15715">
              <w:rPr>
                <w:rFonts w:eastAsia="Times New Roman" w:cstheme="minorHAnsi"/>
                <w:color w:val="000000"/>
                <w:szCs w:val="24"/>
                <w:lang w:eastAsia="lv-LV"/>
              </w:rPr>
              <w:t>par 1000 l)</w:t>
            </w:r>
            <w:r w:rsidRPr="00C15715">
              <w:rPr>
                <w:rStyle w:val="FootnoteReference"/>
                <w:rFonts w:eastAsia="Times New Roman" w:cstheme="minorHAnsi"/>
                <w:color w:val="000000"/>
                <w:szCs w:val="24"/>
                <w:lang w:eastAsia="lv-LV"/>
              </w:rPr>
              <w:footnoteReference w:id="56"/>
            </w:r>
          </w:p>
        </w:tc>
        <w:tc>
          <w:tcPr>
            <w:tcW w:w="1701" w:type="dxa"/>
            <w:tcBorders>
              <w:top w:val="nil"/>
              <w:left w:val="nil"/>
              <w:bottom w:val="single" w:sz="4" w:space="0" w:color="auto"/>
              <w:right w:val="single" w:sz="4" w:space="0" w:color="auto"/>
            </w:tcBorders>
            <w:shd w:val="clear" w:color="auto" w:fill="auto"/>
            <w:vAlign w:val="center"/>
            <w:hideMark/>
          </w:tcPr>
          <w:p w14:paraId="25531B53"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004BFFD2"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D87276" w:rsidRPr="00C15715" w14:paraId="1DABA47D" w14:textId="77777777" w:rsidTr="00F97BC0">
        <w:trPr>
          <w:trHeight w:val="7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F1EB70B"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Naftas gāzes un pārējie gāzveida ogļūdeņraži (par 1000 kg)</w:t>
            </w:r>
            <w:r w:rsidRPr="00C15715">
              <w:rPr>
                <w:rStyle w:val="FootnoteReference"/>
                <w:rFonts w:eastAsia="Times New Roman" w:cstheme="minorHAnsi"/>
                <w:color w:val="000000"/>
                <w:szCs w:val="24"/>
                <w:lang w:eastAsia="lv-LV"/>
              </w:rPr>
              <w:footnoteReference w:id="57"/>
            </w:r>
          </w:p>
        </w:tc>
        <w:tc>
          <w:tcPr>
            <w:tcW w:w="1701" w:type="dxa"/>
            <w:tcBorders>
              <w:top w:val="nil"/>
              <w:left w:val="nil"/>
              <w:bottom w:val="single" w:sz="4" w:space="0" w:color="auto"/>
              <w:right w:val="single" w:sz="4" w:space="0" w:color="auto"/>
            </w:tcBorders>
            <w:shd w:val="clear" w:color="auto" w:fill="auto"/>
            <w:vAlign w:val="center"/>
            <w:hideMark/>
          </w:tcPr>
          <w:p w14:paraId="7860F2E4"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244</w:t>
            </w:r>
          </w:p>
        </w:tc>
        <w:tc>
          <w:tcPr>
            <w:tcW w:w="1721" w:type="dxa"/>
            <w:tcBorders>
              <w:top w:val="nil"/>
              <w:left w:val="nil"/>
              <w:bottom w:val="single" w:sz="4" w:space="0" w:color="auto"/>
              <w:right w:val="single" w:sz="4" w:space="0" w:color="auto"/>
            </w:tcBorders>
            <w:shd w:val="clear" w:color="auto" w:fill="auto"/>
            <w:vAlign w:val="center"/>
            <w:hideMark/>
          </w:tcPr>
          <w:p w14:paraId="3A530320"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285</w:t>
            </w:r>
          </w:p>
        </w:tc>
      </w:tr>
      <w:tr w:rsidR="00D87276" w:rsidRPr="00C15715" w14:paraId="1BAFD6C6"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CD21C49"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Marķētā degviela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0394044D"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c>
          <w:tcPr>
            <w:tcW w:w="1721" w:type="dxa"/>
            <w:tcBorders>
              <w:top w:val="nil"/>
              <w:left w:val="nil"/>
              <w:bottom w:val="single" w:sz="4" w:space="0" w:color="auto"/>
              <w:right w:val="single" w:sz="4" w:space="0" w:color="auto"/>
            </w:tcBorders>
            <w:shd w:val="clear" w:color="auto" w:fill="auto"/>
            <w:noWrap/>
            <w:vAlign w:val="center"/>
            <w:hideMark/>
          </w:tcPr>
          <w:p w14:paraId="6075A10A"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r>
      <w:tr w:rsidR="00D87276" w:rsidRPr="00C15715" w14:paraId="785073F5"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3CF311D"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Marķētā degviela (</w:t>
            </w:r>
            <w:proofErr w:type="spellStart"/>
            <w:r w:rsidRPr="00C15715">
              <w:rPr>
                <w:rFonts w:eastAsia="Times New Roman" w:cstheme="minorHAnsi"/>
                <w:color w:val="000000"/>
                <w:szCs w:val="24"/>
                <w:lang w:eastAsia="lv-LV"/>
              </w:rPr>
              <w:t>bio</w:t>
            </w:r>
            <w:proofErr w:type="spellEnd"/>
            <w:r w:rsidRPr="00C15715">
              <w:rPr>
                <w:rFonts w:eastAsia="Times New Roman" w:cstheme="minorHAnsi"/>
                <w:color w:val="000000"/>
                <w:szCs w:val="24"/>
                <w:lang w:eastAsia="lv-LV"/>
              </w:rPr>
              <w:t xml:space="preserve"> 5%)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7E9BEE70"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c>
          <w:tcPr>
            <w:tcW w:w="1721" w:type="dxa"/>
            <w:tcBorders>
              <w:top w:val="nil"/>
              <w:left w:val="nil"/>
              <w:bottom w:val="single" w:sz="4" w:space="0" w:color="auto"/>
              <w:right w:val="single" w:sz="4" w:space="0" w:color="auto"/>
            </w:tcBorders>
            <w:shd w:val="clear" w:color="auto" w:fill="auto"/>
            <w:noWrap/>
            <w:vAlign w:val="center"/>
            <w:hideMark/>
          </w:tcPr>
          <w:p w14:paraId="3F1734C6"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r>
      <w:tr w:rsidR="00D87276" w:rsidRPr="00C15715" w14:paraId="29A8297F" w14:textId="77777777" w:rsidTr="00F97BC0">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7D6AA6" w14:textId="77777777" w:rsidR="00D87276" w:rsidRPr="00C15715" w:rsidRDefault="00D87276" w:rsidP="001121B4">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Dīzeļdegviela lauksaimniekiem</w:t>
            </w:r>
            <w:r w:rsidRPr="00C15715">
              <w:rPr>
                <w:rStyle w:val="FootnoteReference"/>
                <w:rFonts w:eastAsia="Times New Roman" w:cstheme="minorHAnsi"/>
                <w:color w:val="000000"/>
                <w:szCs w:val="24"/>
                <w:lang w:eastAsia="lv-LV"/>
              </w:rPr>
              <w:footnoteReference w:id="58"/>
            </w:r>
            <w:r w:rsidRPr="00C15715">
              <w:rPr>
                <w:rFonts w:eastAsia="Times New Roman" w:cstheme="minorHAnsi"/>
                <w:color w:val="000000"/>
                <w:szCs w:val="24"/>
                <w:lang w:eastAsia="lv-LV"/>
              </w:rPr>
              <w:t xml:space="preserve"> (par 1000 l)</w:t>
            </w:r>
            <w:r w:rsidRPr="00C15715">
              <w:rPr>
                <w:rStyle w:val="FootnoteReference"/>
                <w:rFonts w:eastAsia="Times New Roman" w:cstheme="minorHAnsi"/>
                <w:color w:val="000000"/>
                <w:szCs w:val="24"/>
                <w:lang w:eastAsia="lv-LV"/>
              </w:rPr>
              <w:footnoteReference w:id="59"/>
            </w:r>
          </w:p>
        </w:tc>
        <w:tc>
          <w:tcPr>
            <w:tcW w:w="1701" w:type="dxa"/>
            <w:tcBorders>
              <w:top w:val="nil"/>
              <w:left w:val="nil"/>
              <w:bottom w:val="single" w:sz="4" w:space="0" w:color="auto"/>
              <w:right w:val="single" w:sz="4" w:space="0" w:color="auto"/>
            </w:tcBorders>
            <w:shd w:val="clear" w:color="auto" w:fill="auto"/>
            <w:vAlign w:val="center"/>
            <w:hideMark/>
          </w:tcPr>
          <w:p w14:paraId="03714AD5"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55,8</w:t>
            </w:r>
          </w:p>
        </w:tc>
        <w:tc>
          <w:tcPr>
            <w:tcW w:w="1721" w:type="dxa"/>
            <w:tcBorders>
              <w:top w:val="nil"/>
              <w:left w:val="nil"/>
              <w:bottom w:val="single" w:sz="4" w:space="0" w:color="auto"/>
              <w:right w:val="single" w:sz="4" w:space="0" w:color="auto"/>
            </w:tcBorders>
            <w:shd w:val="clear" w:color="auto" w:fill="auto"/>
            <w:vAlign w:val="center"/>
            <w:hideMark/>
          </w:tcPr>
          <w:p w14:paraId="2C508FC4" w14:textId="77777777" w:rsidR="00D87276" w:rsidRPr="00C15715" w:rsidRDefault="00D87276" w:rsidP="001121B4">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62,1</w:t>
            </w:r>
          </w:p>
        </w:tc>
      </w:tr>
    </w:tbl>
    <w:p w14:paraId="334CB811" w14:textId="77777777" w:rsidR="00D87276" w:rsidRPr="00C15715" w:rsidRDefault="00D87276" w:rsidP="00D87276">
      <w:pPr>
        <w:pStyle w:val="NormalWeb"/>
        <w:shd w:val="clear" w:color="auto" w:fill="FFFFFF"/>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Akcīzes nodokļa diferencētās likmes arī var tikt uzskatītas par enerģijas subsīdijām attiecībā uz to kurināmo vai degvielu, kuram tiek piemērotas zemākas akcīzes nodokļa likmes salīdzinot ar citiem kurināmā vai degvielas veidiem.</w:t>
      </w:r>
    </w:p>
    <w:p w14:paraId="69CD08EB" w14:textId="1D1D151C" w:rsidR="00D87276" w:rsidRPr="00C15715" w:rsidRDefault="00D87276" w:rsidP="00D87276">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Likums „Par akcīzes nodokli” paredz, ka no akcīzes nodokļa atbrīvo</w:t>
      </w:r>
      <w:r w:rsidR="00F97BC0">
        <w:rPr>
          <w:rFonts w:asciiTheme="minorHAnsi" w:hAnsiTheme="minorHAnsi" w:cstheme="minorHAnsi"/>
        </w:rPr>
        <w:t xml:space="preserve"> </w:t>
      </w:r>
      <w:r w:rsidRPr="00C15715">
        <w:rPr>
          <w:rFonts w:asciiTheme="minorHAnsi" w:hAnsiTheme="minorHAnsi" w:cstheme="minorHAnsi"/>
        </w:rPr>
        <w:t>naftas produktus, kurus piegādā un izmanto:</w:t>
      </w:r>
    </w:p>
    <w:p w14:paraId="79DC1621" w14:textId="1BE9D457" w:rsidR="00D87276" w:rsidRPr="00C15715" w:rsidRDefault="00F97BC0" w:rsidP="00D87276">
      <w:pPr>
        <w:pStyle w:val="NormalWeb"/>
        <w:numPr>
          <w:ilvl w:val="1"/>
          <w:numId w:val="19"/>
        </w:numPr>
        <w:shd w:val="clear" w:color="auto" w:fill="FFFFFF"/>
        <w:spacing w:before="120" w:beforeAutospacing="0" w:after="120" w:afterAutospacing="0"/>
        <w:ind w:left="454" w:hanging="454"/>
        <w:jc w:val="both"/>
        <w:rPr>
          <w:rFonts w:asciiTheme="minorHAnsi" w:hAnsiTheme="minorHAnsi" w:cstheme="minorHAnsi"/>
          <w:color w:val="000000"/>
        </w:rPr>
      </w:pPr>
      <w:r>
        <w:rPr>
          <w:rFonts w:asciiTheme="minorHAnsi" w:hAnsiTheme="minorHAnsi" w:cstheme="minorHAnsi"/>
        </w:rPr>
        <w:t>citiem mērķiem (</w:t>
      </w:r>
      <w:r w:rsidR="00D87276" w:rsidRPr="00C15715">
        <w:rPr>
          <w:rFonts w:asciiTheme="minorHAnsi" w:hAnsiTheme="minorHAnsi" w:cstheme="minorHAnsi"/>
        </w:rPr>
        <w:t>kā izejvielu</w:t>
      </w:r>
      <w:r>
        <w:rPr>
          <w:rFonts w:asciiTheme="minorHAnsi" w:hAnsiTheme="minorHAnsi" w:cstheme="minorHAnsi"/>
        </w:rPr>
        <w:t>,</w:t>
      </w:r>
      <w:r w:rsidR="00D87276" w:rsidRPr="00C15715">
        <w:rPr>
          <w:rFonts w:asciiTheme="minorHAnsi" w:hAnsiTheme="minorHAnsi" w:cstheme="minorHAnsi"/>
        </w:rPr>
        <w:t xml:space="preserve"> nevis kā degvielu vai kurināmo); </w:t>
      </w:r>
    </w:p>
    <w:p w14:paraId="2DFDC012" w14:textId="77777777" w:rsidR="00D87276" w:rsidRPr="00C15715" w:rsidRDefault="00D87276" w:rsidP="00D87276">
      <w:pPr>
        <w:pStyle w:val="NormalWeb"/>
        <w:numPr>
          <w:ilvl w:val="1"/>
          <w:numId w:val="19"/>
        </w:numPr>
        <w:shd w:val="clear" w:color="auto" w:fill="FFFFFF"/>
        <w:spacing w:before="120" w:beforeAutospacing="0" w:after="120" w:afterAutospacing="0"/>
        <w:ind w:left="454" w:hanging="454"/>
        <w:jc w:val="both"/>
        <w:rPr>
          <w:rFonts w:asciiTheme="minorHAnsi" w:hAnsiTheme="minorHAnsi" w:cstheme="minorHAnsi"/>
          <w:color w:val="000000"/>
        </w:rPr>
      </w:pPr>
      <w:r w:rsidRPr="00C15715">
        <w:rPr>
          <w:rFonts w:asciiTheme="minorHAnsi" w:hAnsiTheme="minorHAnsi" w:cstheme="minorHAnsi"/>
        </w:rPr>
        <w:t>gaisakuģi un kuģi, kuri netiek izmantoti privātai atpūtai un izklaidei;</w:t>
      </w:r>
    </w:p>
    <w:p w14:paraId="7ABE37EB" w14:textId="77777777" w:rsidR="00D87276" w:rsidRPr="00C15715" w:rsidRDefault="00D87276" w:rsidP="00D87276">
      <w:pPr>
        <w:pStyle w:val="NormalWeb"/>
        <w:numPr>
          <w:ilvl w:val="1"/>
          <w:numId w:val="19"/>
        </w:numPr>
        <w:shd w:val="clear" w:color="auto" w:fill="FFFFFF"/>
        <w:spacing w:before="120" w:beforeAutospacing="0" w:after="120" w:afterAutospacing="0"/>
        <w:ind w:left="454" w:hanging="454"/>
        <w:jc w:val="both"/>
        <w:rPr>
          <w:rFonts w:asciiTheme="minorHAnsi" w:hAnsiTheme="minorHAnsi" w:cstheme="minorHAnsi"/>
          <w:color w:val="000000"/>
        </w:rPr>
      </w:pPr>
      <w:r w:rsidRPr="00C15715">
        <w:rPr>
          <w:rFonts w:asciiTheme="minorHAnsi" w:hAnsiTheme="minorHAnsi" w:cstheme="minorHAnsi"/>
        </w:rPr>
        <w:t>elektroenerģijas ražošanai vai kombinētās iekārtās, kas ražo elektroenerģiju un siltumenerģiju;</w:t>
      </w:r>
    </w:p>
    <w:p w14:paraId="7CFD9B06" w14:textId="77777777" w:rsidR="00F97BC0" w:rsidRPr="00F97BC0" w:rsidRDefault="00D87276" w:rsidP="00D87276">
      <w:pPr>
        <w:pStyle w:val="NormalWeb"/>
        <w:numPr>
          <w:ilvl w:val="1"/>
          <w:numId w:val="19"/>
        </w:numPr>
        <w:shd w:val="clear" w:color="auto" w:fill="FFFFFF"/>
        <w:spacing w:before="120" w:beforeAutospacing="0" w:after="120" w:afterAutospacing="0"/>
        <w:ind w:left="454" w:hanging="454"/>
        <w:jc w:val="both"/>
        <w:rPr>
          <w:rFonts w:asciiTheme="minorHAnsi" w:hAnsiTheme="minorHAnsi" w:cstheme="minorHAnsi"/>
          <w:color w:val="000000"/>
        </w:rPr>
      </w:pPr>
      <w:r w:rsidRPr="00C15715">
        <w:rPr>
          <w:rFonts w:asciiTheme="minorHAnsi" w:hAnsiTheme="minorHAnsi" w:cstheme="minorHAnsi"/>
        </w:rPr>
        <w:t>ķīmiskās apstrādes procesā, pievienojot koksam, ko izmanto par kurināmo</w:t>
      </w:r>
    </w:p>
    <w:p w14:paraId="6E743A37" w14:textId="5D8234A3" w:rsidR="00D87276" w:rsidRPr="00C15715" w:rsidRDefault="00F97BC0" w:rsidP="00D87276">
      <w:pPr>
        <w:pStyle w:val="NormalWeb"/>
        <w:numPr>
          <w:ilvl w:val="1"/>
          <w:numId w:val="19"/>
        </w:numPr>
        <w:shd w:val="clear" w:color="auto" w:fill="FFFFFF"/>
        <w:spacing w:before="120" w:beforeAutospacing="0" w:after="120" w:afterAutospacing="0"/>
        <w:ind w:left="454" w:hanging="454"/>
        <w:jc w:val="both"/>
        <w:rPr>
          <w:rFonts w:asciiTheme="minorHAnsi" w:hAnsiTheme="minorHAnsi" w:cstheme="minorHAnsi"/>
          <w:color w:val="000000"/>
        </w:rPr>
      </w:pPr>
      <w:r>
        <w:rPr>
          <w:rFonts w:asciiTheme="minorHAnsi" w:hAnsiTheme="minorHAnsi" w:cstheme="minorHAnsi"/>
        </w:rPr>
        <w:t>divejādi</w:t>
      </w:r>
      <w:r w:rsidR="00D87276" w:rsidRPr="00C15715">
        <w:rPr>
          <w:rFonts w:asciiTheme="minorHAnsi" w:hAnsiTheme="minorHAnsi" w:cstheme="minorHAnsi"/>
        </w:rPr>
        <w:t xml:space="preserve">; </w:t>
      </w:r>
    </w:p>
    <w:p w14:paraId="0F303B8E" w14:textId="77777777" w:rsidR="00F97BC0" w:rsidRDefault="00F97BC0" w:rsidP="00D87276">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 xml:space="preserve">Likums „Par akcīzes nodokli” paredz, ka </w:t>
      </w:r>
      <w:r>
        <w:rPr>
          <w:rFonts w:asciiTheme="minorHAnsi" w:hAnsiTheme="minorHAnsi" w:cstheme="minorHAnsi"/>
        </w:rPr>
        <w:t xml:space="preserve">0 </w:t>
      </w:r>
      <w:proofErr w:type="spellStart"/>
      <w:r>
        <w:rPr>
          <w:rFonts w:asciiTheme="minorHAnsi" w:hAnsiTheme="minorHAnsi" w:cstheme="minorHAnsi"/>
        </w:rPr>
        <w:t>euro</w:t>
      </w:r>
      <w:proofErr w:type="spellEnd"/>
      <w:r>
        <w:rPr>
          <w:rFonts w:asciiTheme="minorHAnsi" w:hAnsiTheme="minorHAnsi" w:cstheme="minorHAnsi"/>
        </w:rPr>
        <w:t xml:space="preserve"> likmi akcīzes nodokļa likmi piemēro:</w:t>
      </w:r>
    </w:p>
    <w:p w14:paraId="3A6F9164" w14:textId="77777777" w:rsidR="00F97BC0" w:rsidRPr="00F97BC0" w:rsidRDefault="00F97BC0" w:rsidP="00F97BC0">
      <w:pPr>
        <w:pStyle w:val="NormalWeb"/>
        <w:numPr>
          <w:ilvl w:val="1"/>
          <w:numId w:val="19"/>
        </w:numPr>
        <w:shd w:val="clear" w:color="auto" w:fill="FFFFFF"/>
        <w:spacing w:before="120" w:beforeAutospacing="0" w:after="120" w:afterAutospacing="0"/>
        <w:ind w:left="454" w:hanging="454"/>
        <w:jc w:val="both"/>
        <w:rPr>
          <w:rFonts w:asciiTheme="minorHAnsi" w:hAnsiTheme="minorHAnsi" w:cstheme="minorHAnsi"/>
          <w:color w:val="000000"/>
        </w:rPr>
      </w:pPr>
      <w:r w:rsidRPr="00F97BC0">
        <w:rPr>
          <w:rFonts w:asciiTheme="minorHAnsi" w:hAnsiTheme="minorHAnsi" w:cstheme="minorHAnsi"/>
        </w:rPr>
        <w:lastRenderedPageBreak/>
        <w:t>b</w:t>
      </w:r>
      <w:r w:rsidR="00D87276" w:rsidRPr="00F97BC0">
        <w:rPr>
          <w:rFonts w:asciiTheme="minorHAnsi" w:hAnsiTheme="minorHAnsi" w:cstheme="minorHAnsi"/>
        </w:rPr>
        <w:t>iodīzeļdegvielai, kas pilnībā iegūta no rapšu sēklu eļļas, un rapšu sēklu eļļai, kuru realizē vai izmanto par kurināmo vai degvielu</w:t>
      </w:r>
      <w:r w:rsidRPr="00F97BC0">
        <w:rPr>
          <w:rFonts w:asciiTheme="minorHAnsi" w:hAnsiTheme="minorHAnsi" w:cstheme="minorHAnsi"/>
        </w:rPr>
        <w:t>;</w:t>
      </w:r>
    </w:p>
    <w:p w14:paraId="5616ECD3" w14:textId="65297754" w:rsidR="00F97BC0" w:rsidRPr="00F97BC0" w:rsidRDefault="00F97BC0" w:rsidP="00F97BC0">
      <w:pPr>
        <w:pStyle w:val="NormalWeb"/>
        <w:numPr>
          <w:ilvl w:val="1"/>
          <w:numId w:val="19"/>
        </w:numPr>
        <w:shd w:val="clear" w:color="auto" w:fill="FFFFFF"/>
        <w:spacing w:before="120" w:beforeAutospacing="0" w:after="120" w:afterAutospacing="0"/>
        <w:ind w:left="454" w:hanging="454"/>
        <w:jc w:val="both"/>
        <w:rPr>
          <w:rFonts w:asciiTheme="minorHAnsi" w:hAnsiTheme="minorHAnsi" w:cstheme="minorHAnsi"/>
          <w:color w:val="000000"/>
        </w:rPr>
      </w:pPr>
      <w:r w:rsidRPr="00F97BC0">
        <w:rPr>
          <w:rFonts w:asciiTheme="minorHAnsi" w:hAnsiTheme="minorHAnsi" w:cstheme="minorHAnsi"/>
          <w:color w:val="000000"/>
        </w:rPr>
        <w:t>naftas gāzēm un pārējiem gāzveida ogļūdeņražiem, ja tos piegādā personām, kuras tos izmanto par kurināmo vai gāzes krāsnīs un citās iekārtās, nevis par degvielu</w:t>
      </w:r>
      <w:r>
        <w:rPr>
          <w:rFonts w:asciiTheme="minorHAnsi" w:hAnsiTheme="minorHAnsi" w:cstheme="minorHAnsi"/>
          <w:color w:val="000000"/>
        </w:rPr>
        <w:t>.</w:t>
      </w:r>
    </w:p>
    <w:p w14:paraId="17CF4EFE" w14:textId="77777777" w:rsidR="00D87276" w:rsidRPr="00C15715" w:rsidRDefault="00D87276" w:rsidP="00D87276">
      <w:pPr>
        <w:pStyle w:val="NormalWeb"/>
        <w:shd w:val="clear" w:color="auto" w:fill="FFFFFF"/>
        <w:spacing w:before="0" w:beforeAutospacing="0" w:after="150" w:afterAutospacing="0"/>
        <w:rPr>
          <w:rFonts w:asciiTheme="minorHAnsi" w:hAnsiTheme="minorHAnsi" w:cstheme="minorHAnsi"/>
          <w:u w:val="single"/>
        </w:rPr>
      </w:pPr>
      <w:r w:rsidRPr="00C15715">
        <w:rPr>
          <w:rFonts w:asciiTheme="minorHAnsi" w:hAnsiTheme="minorHAnsi" w:cstheme="minorHAnsi"/>
          <w:u w:val="single"/>
        </w:rPr>
        <w:t>Pievienotās vērtības nodoklis</w:t>
      </w:r>
    </w:p>
    <w:p w14:paraId="253A62D6" w14:textId="6A786A13" w:rsidR="00D87276" w:rsidRPr="00C15715" w:rsidRDefault="00D87276" w:rsidP="001121B4">
      <w:pPr>
        <w:spacing w:before="120" w:after="120" w:line="240" w:lineRule="auto"/>
        <w:jc w:val="both"/>
        <w:rPr>
          <w:rFonts w:cstheme="minorHAnsi"/>
          <w:szCs w:val="24"/>
        </w:rPr>
      </w:pPr>
      <w:r w:rsidRPr="00C15715">
        <w:rPr>
          <w:rFonts w:cstheme="minorHAnsi"/>
          <w:szCs w:val="24"/>
        </w:rPr>
        <w:t>PVN samazinātā likme</w:t>
      </w:r>
      <w:r w:rsidR="00705AB8">
        <w:rPr>
          <w:rFonts w:cstheme="minorHAnsi"/>
          <w:szCs w:val="24"/>
        </w:rPr>
        <w:t xml:space="preserve"> – 12% apmērā,</w:t>
      </w:r>
      <w:r w:rsidRPr="00C15715">
        <w:rPr>
          <w:rFonts w:cstheme="minorHAnsi"/>
          <w:szCs w:val="24"/>
        </w:rPr>
        <w:t xml:space="preserve"> tiek piemērota</w:t>
      </w:r>
      <w:r w:rsidR="001121B4">
        <w:rPr>
          <w:rFonts w:cstheme="minorHAnsi"/>
          <w:szCs w:val="24"/>
        </w:rPr>
        <w:t xml:space="preserve"> </w:t>
      </w:r>
      <w:r w:rsidRPr="00C15715">
        <w:rPr>
          <w:rFonts w:cstheme="minorHAnsi"/>
          <w:szCs w:val="24"/>
        </w:rPr>
        <w:t>atsevišķām koksnes kurināmā piegādēm, ja tā faktiskais patērētājs ir iedzīvotājs, kas pērk un patērē koksnes kurināmo mājsaimniecības vajadzībām</w:t>
      </w:r>
      <w:r w:rsidR="001121B4">
        <w:rPr>
          <w:rFonts w:cstheme="minorHAnsi"/>
          <w:szCs w:val="24"/>
        </w:rPr>
        <w:t xml:space="preserve">, un </w:t>
      </w:r>
      <w:r w:rsidRPr="00C15715">
        <w:rPr>
          <w:rFonts w:cstheme="minorHAnsi"/>
          <w:szCs w:val="24"/>
        </w:rPr>
        <w:t>siltumenerģijas piegādei, ja tās faktiskais patērētājs ir iedzīvotājs, kas pērk un patērē siltumenerģiju mājsaimniecības vajadzībām</w:t>
      </w:r>
      <w:r w:rsidR="00705AB8">
        <w:rPr>
          <w:rFonts w:cstheme="minorHAnsi"/>
          <w:szCs w:val="24"/>
        </w:rPr>
        <w:t>.</w:t>
      </w:r>
    </w:p>
    <w:p w14:paraId="4BEE7133"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t>Ar PVN neapliek gāzes importu, kas transportēta, izmantojot dabasgāzes sistēmu vai tīklus, kuri pieslēgti šai sistēmai, vai gāzes transportkuģus, un ko iesūknē kādā dabasgāzes sistēmā vai maģistrālo cauruļvadu tīklā, elektroenerģijas, siltumenerģijas vai dzesēšanas enerģijas importam pa siltumapgādes vai dzesēšanas tīkliem.</w:t>
      </w:r>
    </w:p>
    <w:p w14:paraId="157999FB" w14:textId="77777777" w:rsidR="00D87276" w:rsidRPr="00C15715" w:rsidRDefault="00D87276" w:rsidP="00D87276">
      <w:pPr>
        <w:spacing w:before="120" w:after="120" w:line="240" w:lineRule="auto"/>
        <w:jc w:val="both"/>
        <w:rPr>
          <w:rFonts w:cstheme="minorHAnsi"/>
          <w:szCs w:val="24"/>
          <w:u w:val="single"/>
        </w:rPr>
      </w:pPr>
      <w:r w:rsidRPr="00C15715">
        <w:rPr>
          <w:rFonts w:cstheme="minorHAnsi"/>
          <w:szCs w:val="24"/>
          <w:u w:val="single"/>
        </w:rPr>
        <w:t>DRN</w:t>
      </w:r>
    </w:p>
    <w:p w14:paraId="00097BFB" w14:textId="218D28D1" w:rsidR="00D87276" w:rsidRPr="00C15715" w:rsidRDefault="00D87276" w:rsidP="001121B4">
      <w:pPr>
        <w:spacing w:before="120" w:after="120" w:line="240" w:lineRule="auto"/>
        <w:jc w:val="both"/>
        <w:rPr>
          <w:rFonts w:cstheme="minorHAnsi"/>
          <w:szCs w:val="24"/>
        </w:rPr>
      </w:pPr>
      <w:r w:rsidRPr="00C15715">
        <w:rPr>
          <w:rFonts w:cstheme="minorHAnsi"/>
          <w:szCs w:val="24"/>
        </w:rPr>
        <w:t>DRN tiek piemērots par dažādu gaisa piesārņojošo vielu emisiju vai SEG emisiju emitēšanu atmosfērā. DRN likme tiek piemērota katrai konkrētai gaisa piesārņojošai vielai vai SEG. DRN par CO</w:t>
      </w:r>
      <w:r w:rsidRPr="00C15715">
        <w:rPr>
          <w:rFonts w:cstheme="minorHAnsi"/>
          <w:szCs w:val="24"/>
          <w:vertAlign w:val="subscript"/>
        </w:rPr>
        <w:t>2</w:t>
      </w:r>
      <w:r w:rsidRPr="00C15715">
        <w:rPr>
          <w:rFonts w:cstheme="minorHAnsi"/>
          <w:szCs w:val="24"/>
        </w:rPr>
        <w:t xml:space="preserve"> emisijām netiek piemērots</w:t>
      </w:r>
      <w:r w:rsidR="001121B4">
        <w:rPr>
          <w:rFonts w:cstheme="minorHAnsi"/>
          <w:szCs w:val="24"/>
        </w:rPr>
        <w:t xml:space="preserve"> </w:t>
      </w:r>
      <w:r w:rsidRPr="00C15715">
        <w:rPr>
          <w:rFonts w:cstheme="minorHAnsi"/>
          <w:szCs w:val="24"/>
        </w:rPr>
        <w:t>iekārtām, kuras ir iekļautas ES ETS</w:t>
      </w:r>
      <w:r w:rsidR="001121B4">
        <w:rPr>
          <w:rFonts w:cstheme="minorHAnsi"/>
          <w:szCs w:val="24"/>
        </w:rPr>
        <w:t xml:space="preserve"> un </w:t>
      </w:r>
      <w:r w:rsidRPr="00C15715">
        <w:rPr>
          <w:rFonts w:cstheme="minorHAnsi"/>
          <w:szCs w:val="24"/>
        </w:rPr>
        <w:t>biomasas un kūdras sadedzināšanai</w:t>
      </w:r>
      <w:r w:rsidR="001121B4">
        <w:rPr>
          <w:rFonts w:cstheme="minorHAnsi"/>
          <w:szCs w:val="24"/>
        </w:rPr>
        <w:t>.</w:t>
      </w:r>
    </w:p>
    <w:p w14:paraId="3F03F9C9" w14:textId="4579718D" w:rsidR="00D87276" w:rsidRPr="00C15715" w:rsidRDefault="00D87276" w:rsidP="00705AB8">
      <w:pPr>
        <w:spacing w:before="120" w:after="120" w:line="240" w:lineRule="auto"/>
        <w:jc w:val="both"/>
        <w:rPr>
          <w:rFonts w:cstheme="minorHAnsi"/>
          <w:szCs w:val="24"/>
        </w:rPr>
      </w:pPr>
      <w:r w:rsidRPr="00705AB8">
        <w:rPr>
          <w:rFonts w:cstheme="minorHAnsi"/>
          <w:szCs w:val="24"/>
        </w:rPr>
        <w:t xml:space="preserve">Akmeņoglēm, koksam un </w:t>
      </w:r>
      <w:proofErr w:type="spellStart"/>
      <w:r w:rsidRPr="00705AB8">
        <w:rPr>
          <w:rFonts w:cstheme="minorHAnsi"/>
          <w:szCs w:val="24"/>
        </w:rPr>
        <w:t>lignītam</w:t>
      </w:r>
      <w:proofErr w:type="spellEnd"/>
      <w:r w:rsidRPr="00705AB8">
        <w:rPr>
          <w:rFonts w:cstheme="minorHAnsi"/>
          <w:szCs w:val="24"/>
        </w:rPr>
        <w:t xml:space="preserve"> (brūnoglēm), kuru izmanto elektroenerģijas ražošanai, kā arī siltumenerģijas un elektroenerģijas ražošanai koģenerācijas procesā</w:t>
      </w:r>
      <w:r w:rsidR="00705AB8">
        <w:rPr>
          <w:rFonts w:cstheme="minorHAnsi"/>
          <w:szCs w:val="24"/>
        </w:rPr>
        <w:t>, kā arī a</w:t>
      </w:r>
      <w:r w:rsidRPr="00C15715">
        <w:rPr>
          <w:rFonts w:cstheme="minorHAnsi"/>
          <w:szCs w:val="24"/>
        </w:rPr>
        <w:t xml:space="preserve">kmeņogļu, koksa un </w:t>
      </w:r>
      <w:proofErr w:type="spellStart"/>
      <w:r w:rsidRPr="00C15715">
        <w:rPr>
          <w:rFonts w:cstheme="minorHAnsi"/>
          <w:szCs w:val="24"/>
        </w:rPr>
        <w:t>lignīta</w:t>
      </w:r>
      <w:proofErr w:type="spellEnd"/>
      <w:r w:rsidRPr="00C15715">
        <w:rPr>
          <w:rFonts w:cstheme="minorHAnsi"/>
          <w:szCs w:val="24"/>
        </w:rPr>
        <w:t xml:space="preserve"> (brūnogles) realizēšanai, ja personai, kura veic šo realizāciju, ir licence elektroenerģijas ražošanai vai licence siltumenerģijas un elektroenerģijas ražošanai koģenerācijas procesā</w:t>
      </w:r>
      <w:r w:rsidR="00705AB8">
        <w:rPr>
          <w:rFonts w:cstheme="minorHAnsi"/>
          <w:szCs w:val="24"/>
        </w:rPr>
        <w:t xml:space="preserve">, piemēro 0 </w:t>
      </w:r>
      <w:proofErr w:type="spellStart"/>
      <w:r w:rsidR="00705AB8">
        <w:rPr>
          <w:rFonts w:cstheme="minorHAnsi"/>
          <w:szCs w:val="24"/>
        </w:rPr>
        <w:t>euro</w:t>
      </w:r>
      <w:proofErr w:type="spellEnd"/>
      <w:r w:rsidR="00705AB8">
        <w:rPr>
          <w:rFonts w:cstheme="minorHAnsi"/>
          <w:szCs w:val="24"/>
        </w:rPr>
        <w:t xml:space="preserve"> DRN likmi</w:t>
      </w:r>
      <w:r w:rsidRPr="00C15715">
        <w:rPr>
          <w:rFonts w:cstheme="minorHAnsi"/>
          <w:szCs w:val="24"/>
        </w:rPr>
        <w:t>.</w:t>
      </w:r>
    </w:p>
    <w:p w14:paraId="16927034" w14:textId="77777777" w:rsidR="00D87276" w:rsidRPr="00C15715" w:rsidRDefault="00D87276" w:rsidP="00D87276">
      <w:pPr>
        <w:spacing w:before="120" w:after="120" w:line="240" w:lineRule="auto"/>
        <w:jc w:val="both"/>
        <w:rPr>
          <w:rFonts w:cstheme="minorHAnsi"/>
          <w:szCs w:val="24"/>
          <w:u w:val="single"/>
        </w:rPr>
      </w:pPr>
      <w:r w:rsidRPr="00C15715">
        <w:rPr>
          <w:rFonts w:cstheme="minorHAnsi"/>
          <w:szCs w:val="24"/>
          <w:u w:val="single"/>
        </w:rPr>
        <w:t>TEN</w:t>
      </w:r>
    </w:p>
    <w:p w14:paraId="0AE7368A"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t xml:space="preserve">Saskaņā ar "Transportlīdzekļa ekspluatācijas nodokļa un uzņēmumu vieglo transportlīdzekļu nodokļa likumu" nodoklis ik gadu jāmaksā visām personām, kuru īpašumā, turējumā vai valdījumā Latvijā ir vai tiek reģistrēti transportlīdzekļi (izņemot traktortehniku, tādas automobiļu piekabes un puspiekabes, kuru pilna masa nepārsniedz 3500 kg, tramvajus, trolejbusus, </w:t>
      </w:r>
      <w:proofErr w:type="spellStart"/>
      <w:r w:rsidRPr="00C15715">
        <w:rPr>
          <w:rFonts w:cstheme="minorHAnsi"/>
          <w:szCs w:val="24"/>
        </w:rPr>
        <w:t>bezceļu</w:t>
      </w:r>
      <w:proofErr w:type="spellEnd"/>
      <w:r w:rsidRPr="00C15715">
        <w:rPr>
          <w:rFonts w:cstheme="minorHAnsi"/>
          <w:szCs w:val="24"/>
        </w:rPr>
        <w:t xml:space="preserve"> transportlīdzekļus, sniega motociklus, mopēdus un velosipēdus) vai ar nodokli apliekamajam transportlīdzeklim tiek izsniegtas tranzīta numura zīmes.</w:t>
      </w:r>
    </w:p>
    <w:p w14:paraId="6323EFB9"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t>TEN nemaksā par:</w:t>
      </w:r>
    </w:p>
    <w:p w14:paraId="74B070C2"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t>vienu vieglo automobili, motociklu, triciklu vai kvadriciklu, kurš ir vai tiek reģistrēts personai ar invaliditāti īpašumā, turējumā vai valdījumā;</w:t>
      </w:r>
    </w:p>
    <w:p w14:paraId="2FE2B98A"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diplomātiskās, konsulārās vai starptautiskās organizācijas pārstāvniecības vai tādas personas īpašumā, turējumā vai valdījumā, kurai ir diplomātiskās vai konsulārās privilēģijas un imunitātes;</w:t>
      </w:r>
    </w:p>
    <w:p w14:paraId="27F4AEBD"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t>transportlīdzekli, kuru noraksta vai arī noraksta vienlaikus ar citu reģistrācijas darbību;</w:t>
      </w:r>
    </w:p>
    <w:p w14:paraId="70E046B3"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kā operatīvais transportlīdzeklis;</w:t>
      </w:r>
    </w:p>
    <w:p w14:paraId="67052A26"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t>transportlīdzekli, kas reģistrēts fiziskajai personai īpašumā, par laiku no šīs fiziskās personas nāves brīža līdz īpašnieka maiņas vai valdītāja reģistrācijas brīdim;</w:t>
      </w:r>
    </w:p>
    <w:p w14:paraId="4C2EEE03"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lastRenderedPageBreak/>
        <w:t>transportlīdzekli, kuram ir vai tiek reģistrēts vēsturiskā spēkrata statuss vai kurš vai tiek reģistrēts par sporta transportlīdzekli;</w:t>
      </w:r>
    </w:p>
    <w:p w14:paraId="3F6DCCBF"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t>tādu transportlīdzekli, kas pēc savas konstrukcijas kā vienīgo mehānisko dzinējspēku izmanto enerģiju no transportlīdzeklī glabātās elektroenerģijas vai dzinējspēka glabāšanas iekārtas (piemēram, akumulators, kondensators, spararats vai ģenerators);</w:t>
      </w:r>
    </w:p>
    <w:p w14:paraId="72548530"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t>vieglo transportlīdzekli, kura īpašniekam, turētājam vai valdītājam vai šādas personas laulātajam apgādībā ir bērns ar invaliditāti;</w:t>
      </w:r>
    </w:p>
    <w:p w14:paraId="2F867F6B"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t>transportlīdzekli, kuru transportlīdzekļa īpašnieka maksātnespējas administrators noņem no uzskaites atsavināšanai Latvijā vai izvešanai no Latvijas, vai transportlīdzekli, kura reģistrāciju pārtrauc uz laiku, nododot numura zīmes;</w:t>
      </w:r>
    </w:p>
    <w:p w14:paraId="55D304CF" w14:textId="77777777" w:rsidR="00D87276" w:rsidRPr="00C15715" w:rsidRDefault="00D87276" w:rsidP="00D87276">
      <w:pPr>
        <w:pStyle w:val="ListParagraph"/>
        <w:numPr>
          <w:ilvl w:val="0"/>
          <w:numId w:val="17"/>
        </w:numPr>
        <w:spacing w:before="120" w:after="120" w:line="240" w:lineRule="auto"/>
        <w:ind w:left="454" w:hanging="454"/>
        <w:contextualSpacing w:val="0"/>
        <w:jc w:val="both"/>
        <w:rPr>
          <w:rFonts w:cstheme="minorHAnsi"/>
          <w:szCs w:val="24"/>
        </w:rPr>
      </w:pPr>
      <w:r w:rsidRPr="00C15715">
        <w:rPr>
          <w:rFonts w:cstheme="minorHAnsi"/>
          <w:szCs w:val="24"/>
        </w:rPr>
        <w:t>vienu transportlīdzekli, kurš ir vai tiek reģistrēts īpašumā, turējumā vai valdījumā Sabiedroto spēku štāba loceklim vai viņa apgādājamam, ja šī persona nav Latvijas pilsonis vai pastāvīgais iedzīvotājs.</w:t>
      </w:r>
    </w:p>
    <w:p w14:paraId="1B6C6A58" w14:textId="5C930DCC" w:rsidR="00D87276" w:rsidRPr="00C15715" w:rsidRDefault="00D87276" w:rsidP="00D87276">
      <w:pPr>
        <w:spacing w:before="120" w:after="120" w:line="240" w:lineRule="auto"/>
        <w:jc w:val="both"/>
        <w:rPr>
          <w:rFonts w:cstheme="minorHAnsi"/>
          <w:szCs w:val="24"/>
        </w:rPr>
      </w:pPr>
      <w:r w:rsidRPr="00C15715">
        <w:rPr>
          <w:rFonts w:cstheme="minorHAnsi"/>
          <w:szCs w:val="24"/>
        </w:rPr>
        <w:t xml:space="preserve">TEN atvieglojumus </w:t>
      </w:r>
      <w:r w:rsidR="00705AB8">
        <w:rPr>
          <w:rFonts w:cstheme="minorHAnsi"/>
          <w:szCs w:val="24"/>
        </w:rPr>
        <w:t xml:space="preserve">50% apmērā </w:t>
      </w:r>
      <w:r w:rsidRPr="00C15715">
        <w:rPr>
          <w:rFonts w:cstheme="minorHAnsi"/>
          <w:szCs w:val="24"/>
        </w:rPr>
        <w:t>piemēro:</w:t>
      </w:r>
    </w:p>
    <w:p w14:paraId="29387016" w14:textId="77777777" w:rsidR="00D87276" w:rsidRPr="00C15715" w:rsidRDefault="00D87276" w:rsidP="00D87276">
      <w:pPr>
        <w:pStyle w:val="ListParagraph"/>
        <w:numPr>
          <w:ilvl w:val="0"/>
          <w:numId w:val="18"/>
        </w:numPr>
        <w:spacing w:before="120" w:after="120" w:line="240" w:lineRule="auto"/>
        <w:ind w:left="454" w:hanging="454"/>
        <w:contextualSpacing w:val="0"/>
        <w:jc w:val="both"/>
        <w:rPr>
          <w:rFonts w:cstheme="minorHAnsi"/>
          <w:szCs w:val="24"/>
        </w:rPr>
      </w:pPr>
      <w:r w:rsidRPr="00C15715">
        <w:rPr>
          <w:rFonts w:cstheme="minorHAnsi"/>
          <w:szCs w:val="24"/>
        </w:rPr>
        <w:t xml:space="preserve">transportlīdzeklim (izņemot operatīvo transportlīdzekli), kura īpašnieks, turētājs vai valdītājs ir </w:t>
      </w:r>
      <w:proofErr w:type="spellStart"/>
      <w:r w:rsidRPr="00C15715">
        <w:rPr>
          <w:rFonts w:cstheme="minorHAnsi"/>
          <w:szCs w:val="24"/>
        </w:rPr>
        <w:t>Iekšlietu</w:t>
      </w:r>
      <w:proofErr w:type="spellEnd"/>
      <w:r w:rsidRPr="00C15715">
        <w:rPr>
          <w:rFonts w:cstheme="minorHAnsi"/>
          <w:szCs w:val="24"/>
        </w:rPr>
        <w:t xml:space="preserve"> ministrijas padotībā esoša iestāde;</w:t>
      </w:r>
    </w:p>
    <w:p w14:paraId="7530C5B8" w14:textId="77777777" w:rsidR="00D87276" w:rsidRPr="00C15715" w:rsidRDefault="00D87276" w:rsidP="00D87276">
      <w:pPr>
        <w:pStyle w:val="ListParagraph"/>
        <w:numPr>
          <w:ilvl w:val="0"/>
          <w:numId w:val="18"/>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Aizsardzības ministrijas padotībā esoša institūcija vai Nacionālie bruņotie spēki;</w:t>
      </w:r>
    </w:p>
    <w:p w14:paraId="6B1E19DA" w14:textId="77777777" w:rsidR="00D87276" w:rsidRPr="00C15715" w:rsidRDefault="00D87276" w:rsidP="00D87276">
      <w:pPr>
        <w:pStyle w:val="ListParagraph"/>
        <w:numPr>
          <w:ilvl w:val="0"/>
          <w:numId w:val="18"/>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pašvaldības policijas iestāde;</w:t>
      </w:r>
    </w:p>
    <w:p w14:paraId="6D8FFE18" w14:textId="0E8B8A32" w:rsidR="00D87276" w:rsidRDefault="00D87276" w:rsidP="00D87276">
      <w:pPr>
        <w:pStyle w:val="ListParagraph"/>
        <w:numPr>
          <w:ilvl w:val="0"/>
          <w:numId w:val="18"/>
        </w:numPr>
        <w:spacing w:before="120" w:after="120" w:line="240" w:lineRule="auto"/>
        <w:ind w:left="454" w:hanging="454"/>
        <w:contextualSpacing w:val="0"/>
        <w:jc w:val="both"/>
        <w:rPr>
          <w:rFonts w:cstheme="minorHAnsi"/>
          <w:szCs w:val="24"/>
        </w:rPr>
      </w:pPr>
      <w:proofErr w:type="spellStart"/>
      <w:r w:rsidRPr="00C15715">
        <w:rPr>
          <w:rFonts w:cstheme="minorHAnsi"/>
          <w:szCs w:val="24"/>
        </w:rPr>
        <w:t>daudzbērnu</w:t>
      </w:r>
      <w:proofErr w:type="spellEnd"/>
      <w:r w:rsidRPr="00C15715">
        <w:rPr>
          <w:rFonts w:cstheme="minorHAnsi"/>
          <w:szCs w:val="24"/>
        </w:rPr>
        <w:t xml:space="preserve"> ģimenei par vienu no tās locekļa īpašumā, turējumā vai valdījumā reģistrētu transportlīdzekli.</w:t>
      </w:r>
    </w:p>
    <w:p w14:paraId="3BD20BE6" w14:textId="77777777" w:rsidR="00705AB8" w:rsidRDefault="00705AB8" w:rsidP="00705AB8">
      <w:pPr>
        <w:spacing w:before="120" w:after="120" w:line="240" w:lineRule="auto"/>
        <w:jc w:val="both"/>
        <w:rPr>
          <w:rFonts w:cstheme="minorHAnsi"/>
          <w:szCs w:val="24"/>
        </w:rPr>
      </w:pPr>
      <w:r>
        <w:rPr>
          <w:rFonts w:cstheme="minorHAnsi"/>
          <w:szCs w:val="24"/>
        </w:rPr>
        <w:t>TEN 25% apmērā no TEN likmes piemēro:</w:t>
      </w:r>
    </w:p>
    <w:p w14:paraId="6772E132" w14:textId="18B29A30" w:rsidR="00705AB8" w:rsidRDefault="00705AB8" w:rsidP="00705AB8">
      <w:pPr>
        <w:pStyle w:val="ListParagraph"/>
        <w:numPr>
          <w:ilvl w:val="0"/>
          <w:numId w:val="24"/>
        </w:numPr>
        <w:spacing w:before="120" w:after="120" w:line="240" w:lineRule="auto"/>
        <w:ind w:left="397" w:hanging="397"/>
        <w:contextualSpacing w:val="0"/>
        <w:jc w:val="both"/>
        <w:rPr>
          <w:rFonts w:cstheme="minorHAnsi"/>
          <w:szCs w:val="24"/>
        </w:rPr>
      </w:pPr>
      <w:r w:rsidRPr="00705AB8">
        <w:rPr>
          <w:rFonts w:cstheme="minorHAnsi"/>
          <w:szCs w:val="24"/>
        </w:rPr>
        <w:t>lauksaimniecības produktu ražotājam, lauksaimniecības pakalpojumu kooperatīvā sabiedrībai un atzītai akvakultūras (dīķsaimniecības tipa) saimniecībai – par kravas automobili, kas pēc savas konstrukcijas paredzēts dažādu kravu pārvadāšanai, un piekabi vai puspiekabi, kas pēc savas konstrukcijas paredzēta dažādu kravu pārvadāšanai, ievērojot īpašus</w:t>
      </w:r>
      <w:r>
        <w:rPr>
          <w:rFonts w:cstheme="minorHAnsi"/>
          <w:szCs w:val="24"/>
        </w:rPr>
        <w:t xml:space="preserve"> </w:t>
      </w:r>
      <w:r w:rsidRPr="00705AB8">
        <w:rPr>
          <w:rFonts w:cstheme="minorHAnsi"/>
          <w:szCs w:val="24"/>
        </w:rPr>
        <w:t>nosacījumus;</w:t>
      </w:r>
    </w:p>
    <w:p w14:paraId="5F200232" w14:textId="3D3619B9" w:rsidR="00705AB8" w:rsidRPr="00705AB8" w:rsidRDefault="00705AB8" w:rsidP="00705AB8">
      <w:pPr>
        <w:pStyle w:val="ListParagraph"/>
        <w:numPr>
          <w:ilvl w:val="0"/>
          <w:numId w:val="24"/>
        </w:numPr>
        <w:spacing w:before="120" w:after="120" w:line="240" w:lineRule="auto"/>
        <w:ind w:left="397" w:hanging="397"/>
        <w:contextualSpacing w:val="0"/>
        <w:jc w:val="both"/>
        <w:rPr>
          <w:rFonts w:cstheme="minorHAnsi"/>
          <w:szCs w:val="24"/>
        </w:rPr>
      </w:pPr>
      <w:r w:rsidRPr="00705AB8">
        <w:rPr>
          <w:rFonts w:cstheme="minorHAnsi"/>
          <w:szCs w:val="24"/>
        </w:rPr>
        <w:t>transportlīdzekļiem, ar kuriem fiziskā vai juridiskā persona, kas ieļauta Lauku atbalsta dienesta maksājumu saņēmēju datubāzē, veic kravas pašpārvadājumus,</w:t>
      </w:r>
      <w:r w:rsidRPr="005D1960">
        <w:t xml:space="preserve"> </w:t>
      </w:r>
      <w:r w:rsidRPr="00705AB8">
        <w:rPr>
          <w:rFonts w:cstheme="minorHAnsi"/>
          <w:szCs w:val="24"/>
        </w:rPr>
        <w:t>ievērojot īpašus nosacījumus;</w:t>
      </w:r>
    </w:p>
    <w:p w14:paraId="4813C046"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t xml:space="preserve">Kopā TEN un UVTN atvieglojumu apmērs, par kuriem ir pieejama informācija, 2017.gadā bija 14,3 milj. </w:t>
      </w:r>
      <w:proofErr w:type="spellStart"/>
      <w:r w:rsidRPr="00C15715">
        <w:rPr>
          <w:rFonts w:cstheme="minorHAnsi"/>
          <w:szCs w:val="24"/>
        </w:rPr>
        <w:t>euro</w:t>
      </w:r>
      <w:proofErr w:type="spellEnd"/>
      <w:r w:rsidRPr="00C15715">
        <w:rPr>
          <w:rFonts w:cstheme="minorHAnsi"/>
          <w:szCs w:val="24"/>
        </w:rPr>
        <w:t xml:space="preserve">, kas ir par 3,8 milj. </w:t>
      </w:r>
      <w:proofErr w:type="spellStart"/>
      <w:r w:rsidRPr="00C15715">
        <w:rPr>
          <w:rFonts w:cstheme="minorHAnsi"/>
          <w:szCs w:val="24"/>
        </w:rPr>
        <w:t>euro</w:t>
      </w:r>
      <w:proofErr w:type="spellEnd"/>
      <w:r w:rsidRPr="00C15715">
        <w:rPr>
          <w:rFonts w:cstheme="minorHAnsi"/>
          <w:szCs w:val="24"/>
        </w:rPr>
        <w:t xml:space="preserve"> jeb 36,4% vairāk nekā 2016.gadā.</w:t>
      </w:r>
    </w:p>
    <w:p w14:paraId="38C42A73" w14:textId="77777777" w:rsidR="00D87276" w:rsidRPr="00C15715" w:rsidRDefault="00D87276" w:rsidP="00D87276">
      <w:pPr>
        <w:spacing w:before="120" w:after="120" w:line="240" w:lineRule="auto"/>
        <w:jc w:val="both"/>
        <w:rPr>
          <w:rFonts w:cstheme="minorHAnsi"/>
          <w:szCs w:val="24"/>
          <w:u w:val="single"/>
        </w:rPr>
      </w:pPr>
      <w:r w:rsidRPr="00C15715">
        <w:rPr>
          <w:rFonts w:cstheme="minorHAnsi"/>
          <w:szCs w:val="24"/>
          <w:u w:val="single"/>
        </w:rPr>
        <w:t>Elektroenerģijas nodoklis</w:t>
      </w:r>
    </w:p>
    <w:p w14:paraId="5A5ECBDB" w14:textId="489DAF35" w:rsidR="00D87276" w:rsidRPr="00C15715" w:rsidRDefault="00D87276" w:rsidP="00D87276">
      <w:pPr>
        <w:spacing w:before="120" w:after="120" w:line="240" w:lineRule="auto"/>
        <w:jc w:val="both"/>
        <w:rPr>
          <w:rFonts w:cstheme="minorHAnsi"/>
          <w:szCs w:val="24"/>
        </w:rPr>
      </w:pPr>
      <w:r w:rsidRPr="00C15715">
        <w:rPr>
          <w:rFonts w:cstheme="minorHAnsi"/>
          <w:szCs w:val="24"/>
        </w:rPr>
        <w:t>Saskaņā ar Elektroenerģijas nodokļa likumu no nodokļa tiek atbrīvota elektroenerģija, ko izmanto</w:t>
      </w:r>
      <w:r w:rsidR="002930BD">
        <w:rPr>
          <w:rFonts w:cstheme="minorHAnsi"/>
          <w:szCs w:val="24"/>
        </w:rPr>
        <w:t xml:space="preserve"> </w:t>
      </w:r>
      <w:r w:rsidRPr="00C15715">
        <w:rPr>
          <w:rFonts w:cstheme="minorHAnsi"/>
          <w:szCs w:val="24"/>
        </w:rPr>
        <w:t>preču pārvadājumiem un sabiedriskajiem pasažieru pārvadājumiem, tajā skaitā dzelzceļa transportā un pilsētu sabiedriskajos pasažieru pārvadājumos</w:t>
      </w:r>
      <w:r w:rsidR="002930BD">
        <w:rPr>
          <w:rFonts w:cstheme="minorHAnsi"/>
          <w:szCs w:val="24"/>
        </w:rPr>
        <w:t xml:space="preserve">, kā arī </w:t>
      </w:r>
      <w:r w:rsidRPr="00C15715">
        <w:rPr>
          <w:rFonts w:cstheme="minorHAnsi"/>
          <w:szCs w:val="24"/>
        </w:rPr>
        <w:t>mājsaimniecību lietotāji.</w:t>
      </w:r>
    </w:p>
    <w:p w14:paraId="01BF6F7F" w14:textId="77777777" w:rsidR="00D87276" w:rsidRPr="00C15715" w:rsidRDefault="00D87276" w:rsidP="00D87276">
      <w:pPr>
        <w:spacing w:before="120" w:after="120" w:line="240" w:lineRule="auto"/>
        <w:jc w:val="both"/>
        <w:rPr>
          <w:rFonts w:eastAsia="Times New Roman" w:cstheme="minorHAnsi"/>
          <w:i/>
          <w:szCs w:val="24"/>
          <w:lang w:eastAsia="lv-LV"/>
        </w:rPr>
      </w:pPr>
      <w:r w:rsidRPr="00C15715">
        <w:rPr>
          <w:rFonts w:eastAsia="Times New Roman" w:cstheme="minorHAnsi"/>
          <w:szCs w:val="24"/>
          <w:lang w:eastAsia="lv-LV"/>
        </w:rPr>
        <w:lastRenderedPageBreak/>
        <w:t>No nodokļa tiek atbrīvota arī elektroenerģija, kas piegādāta citu ES vai citu ārvalstu pārstāvjiem vai organizācijām</w:t>
      </w:r>
      <w:r w:rsidRPr="00C15715">
        <w:rPr>
          <w:rFonts w:eastAsia="Times New Roman" w:cstheme="minorHAnsi"/>
          <w:i/>
          <w:szCs w:val="24"/>
          <w:lang w:eastAsia="lv-LV"/>
        </w:rPr>
        <w:t>:</w:t>
      </w:r>
    </w:p>
    <w:p w14:paraId="282513EF" w14:textId="77777777" w:rsidR="00D87276" w:rsidRPr="00C15715" w:rsidRDefault="00D87276" w:rsidP="00D87276">
      <w:pPr>
        <w:pStyle w:val="ListParagraph"/>
        <w:numPr>
          <w:ilvl w:val="1"/>
          <w:numId w:val="20"/>
        </w:numPr>
        <w:tabs>
          <w:tab w:val="left" w:pos="1134"/>
        </w:tabs>
        <w:spacing w:before="120" w:after="120" w:line="240" w:lineRule="auto"/>
        <w:ind w:left="454" w:hanging="454"/>
        <w:contextualSpacing w:val="0"/>
        <w:jc w:val="both"/>
        <w:rPr>
          <w:rFonts w:eastAsia="Times New Roman" w:cstheme="minorHAnsi"/>
          <w:szCs w:val="24"/>
          <w:lang w:eastAsia="lv-LV"/>
        </w:rPr>
      </w:pPr>
      <w:r w:rsidRPr="00C15715">
        <w:rPr>
          <w:rFonts w:cstheme="minorHAnsi"/>
        </w:rPr>
        <w:t>saistībā ar diplomātiskajām vai konsulārajām attiecībām;</w:t>
      </w:r>
    </w:p>
    <w:p w14:paraId="317A8587" w14:textId="77777777" w:rsidR="00D87276" w:rsidRPr="00C15715" w:rsidRDefault="00D87276" w:rsidP="00D87276">
      <w:pPr>
        <w:pStyle w:val="ListParagraph"/>
        <w:numPr>
          <w:ilvl w:val="1"/>
          <w:numId w:val="20"/>
        </w:numPr>
        <w:tabs>
          <w:tab w:val="left" w:pos="1134"/>
        </w:tabs>
        <w:spacing w:before="120" w:after="120" w:line="240" w:lineRule="auto"/>
        <w:ind w:left="454" w:hanging="454"/>
        <w:contextualSpacing w:val="0"/>
        <w:jc w:val="both"/>
        <w:rPr>
          <w:rFonts w:cstheme="minorHAnsi"/>
        </w:rPr>
      </w:pPr>
      <w:r w:rsidRPr="00C15715">
        <w:rPr>
          <w:rFonts w:cstheme="minorHAnsi"/>
        </w:rPr>
        <w:t>starptautiskajām organizācijām, kas par tādām atzītas to valstu iestādēs, kurās šīs organizācijas atrodas, kā arī šo organizāciju biedriem saskaņā ar starptautiskajām šo organizāciju dibināšanas konvencijām vai to mītnes zemes nolīgumiem;</w:t>
      </w:r>
    </w:p>
    <w:p w14:paraId="44616462" w14:textId="77777777" w:rsidR="00D87276" w:rsidRPr="00C15715" w:rsidRDefault="00D87276" w:rsidP="00D87276">
      <w:pPr>
        <w:pStyle w:val="ListParagraph"/>
        <w:numPr>
          <w:ilvl w:val="1"/>
          <w:numId w:val="20"/>
        </w:numPr>
        <w:tabs>
          <w:tab w:val="left" w:pos="1134"/>
        </w:tabs>
        <w:spacing w:before="120" w:after="120" w:line="240" w:lineRule="auto"/>
        <w:ind w:left="454" w:hanging="454"/>
        <w:contextualSpacing w:val="0"/>
        <w:jc w:val="both"/>
        <w:rPr>
          <w:rFonts w:cstheme="minorHAnsi"/>
        </w:rPr>
      </w:pPr>
      <w:r w:rsidRPr="00C15715">
        <w:rPr>
          <w:rFonts w:cstheme="minorHAnsi"/>
        </w:rPr>
        <w:t xml:space="preserve">jebkuras Ziemeļatlantijas līguma organizācijas dalībvalsts bruņotajiem spēkiem, izņemot dalībvalsti, kurā iekasē elektroenerģijas nodokli, kā arī bruņotajiem spēkiem, kas minēti Eiropas Padomes 1990.gada 3.decembra lēmuma 90/640/EEK 1.pantā, šo bruņoto spēku patēriņam un </w:t>
      </w:r>
      <w:proofErr w:type="spellStart"/>
      <w:r w:rsidRPr="00C15715">
        <w:rPr>
          <w:rFonts w:cstheme="minorHAnsi"/>
        </w:rPr>
        <w:t>civilpersonālam</w:t>
      </w:r>
      <w:proofErr w:type="spellEnd"/>
      <w:r w:rsidRPr="00C15715">
        <w:rPr>
          <w:rFonts w:cstheme="minorHAnsi"/>
        </w:rPr>
        <w:t>, kas tos pavada, vai šo bruņoto spēku virtuves vai ēdnīcu vajadzībām;</w:t>
      </w:r>
    </w:p>
    <w:p w14:paraId="6754E35C" w14:textId="77777777" w:rsidR="00D87276" w:rsidRPr="00C15715" w:rsidRDefault="00D87276" w:rsidP="00D87276">
      <w:pPr>
        <w:pStyle w:val="ListParagraph"/>
        <w:numPr>
          <w:ilvl w:val="1"/>
          <w:numId w:val="20"/>
        </w:numPr>
        <w:tabs>
          <w:tab w:val="left" w:pos="1134"/>
        </w:tabs>
        <w:spacing w:before="120" w:after="120" w:line="240" w:lineRule="auto"/>
        <w:ind w:left="454" w:hanging="454"/>
        <w:contextualSpacing w:val="0"/>
        <w:jc w:val="both"/>
        <w:rPr>
          <w:rFonts w:cstheme="minorHAnsi"/>
        </w:rPr>
      </w:pPr>
      <w:r w:rsidRPr="00C15715">
        <w:rPr>
          <w:rFonts w:cstheme="minorHAnsi"/>
        </w:rPr>
        <w:t>patēriņam saskaņā ar līgumiem, kas noslēgti ar ārvalstīm, kuras nav ES dalībvalstis, vai starptautiskajām organizācijām, ja vien attiecībā uz atbrīvojumu no pievienotās vērtības nodokļa šāds līgums ir atļauts vai apstiprināts.</w:t>
      </w:r>
    </w:p>
    <w:p w14:paraId="3EA31F82" w14:textId="77777777" w:rsidR="00D87276" w:rsidRPr="00C15715" w:rsidRDefault="00D87276" w:rsidP="00D87276">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Elektroenerģijai, ko piegādā personām ielu apgaismošanas pakalpojumu sniegšanai, nodokli aprēķina pēc likmes 0 </w:t>
      </w:r>
      <w:proofErr w:type="spellStart"/>
      <w:r w:rsidRPr="00C15715">
        <w:rPr>
          <w:rFonts w:eastAsia="Times New Roman" w:cstheme="minorHAnsi"/>
          <w:i/>
          <w:szCs w:val="24"/>
          <w:lang w:eastAsia="lv-LV"/>
        </w:rPr>
        <w:t>euro</w:t>
      </w:r>
      <w:proofErr w:type="spellEnd"/>
      <w:r w:rsidRPr="00C15715">
        <w:rPr>
          <w:rFonts w:eastAsia="Times New Roman" w:cstheme="minorHAnsi"/>
          <w:szCs w:val="24"/>
          <w:lang w:eastAsia="lv-LV"/>
        </w:rPr>
        <w:t xml:space="preserve"> par megavatstundu.</w:t>
      </w:r>
    </w:p>
    <w:p w14:paraId="12FC84F6" w14:textId="77777777" w:rsidR="00D87276" w:rsidRPr="00C15715" w:rsidRDefault="00D87276" w:rsidP="00D87276">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Elektroenerģijas nodokļa atbrīvojumu kopējais apmērs 2017.gadā bija 2,6 milj. </w:t>
      </w:r>
      <w:proofErr w:type="spellStart"/>
      <w:r w:rsidRPr="00C15715">
        <w:rPr>
          <w:rFonts w:eastAsia="Times New Roman" w:cstheme="minorHAnsi"/>
          <w:szCs w:val="24"/>
          <w:lang w:eastAsia="lv-LV"/>
        </w:rPr>
        <w:t>euro</w:t>
      </w:r>
      <w:proofErr w:type="spellEnd"/>
      <w:r w:rsidRPr="00C15715">
        <w:rPr>
          <w:rFonts w:eastAsia="Times New Roman" w:cstheme="minorHAnsi"/>
          <w:szCs w:val="24"/>
          <w:lang w:eastAsia="lv-LV"/>
        </w:rPr>
        <w:t xml:space="preserve">, kas ir 0,01% no IKP. 2017.gadā elektroenerģijas nodokļa atbrīvojumu apmērs bija 56,5% no faktiskajiem elektroenerģijas nodokļa ieņēmumiem (4,6 milj. </w:t>
      </w:r>
      <w:proofErr w:type="spellStart"/>
      <w:r w:rsidRPr="00C15715">
        <w:rPr>
          <w:rFonts w:eastAsia="Times New Roman" w:cstheme="minorHAnsi"/>
          <w:szCs w:val="24"/>
          <w:lang w:eastAsia="lv-LV"/>
        </w:rPr>
        <w:t>euro</w:t>
      </w:r>
      <w:proofErr w:type="spellEnd"/>
      <w:r w:rsidRPr="00C15715">
        <w:rPr>
          <w:rFonts w:eastAsia="Times New Roman" w:cstheme="minorHAnsi"/>
          <w:szCs w:val="24"/>
          <w:lang w:eastAsia="lv-LV"/>
        </w:rPr>
        <w:t>).</w:t>
      </w:r>
    </w:p>
    <w:p w14:paraId="7C8596D3" w14:textId="77777777" w:rsidR="00D87276" w:rsidRPr="00C15715" w:rsidRDefault="00D87276" w:rsidP="00D87276">
      <w:pPr>
        <w:pStyle w:val="Heading4"/>
      </w:pPr>
      <w:r w:rsidRPr="00C15715">
        <w:t xml:space="preserve">Tiešie </w:t>
      </w:r>
      <w:proofErr w:type="spellStart"/>
      <w:r w:rsidRPr="00C15715">
        <w:t>pārskaitījumi</w:t>
      </w:r>
      <w:proofErr w:type="spellEnd"/>
    </w:p>
    <w:p w14:paraId="2BF8051B" w14:textId="77777777" w:rsidR="00D87276" w:rsidRPr="00C15715" w:rsidRDefault="00D87276" w:rsidP="00D87276">
      <w:pPr>
        <w:spacing w:after="0" w:line="240" w:lineRule="auto"/>
        <w:jc w:val="both"/>
        <w:rPr>
          <w:rFonts w:eastAsia="Times New Roman" w:cstheme="minorHAnsi"/>
          <w:szCs w:val="24"/>
          <w:lang w:eastAsia="lv-LV"/>
        </w:rPr>
      </w:pPr>
      <w:r w:rsidRPr="00C15715">
        <w:rPr>
          <w:rFonts w:eastAsia="Times New Roman" w:cstheme="minorHAnsi"/>
          <w:szCs w:val="24"/>
          <w:lang w:eastAsia="lv-LV"/>
        </w:rPr>
        <w:t xml:space="preserve">EM virzītajās Eiropas Savienības fondu atbalsta programmās līdz šim brīdim ir realizēts viens projekts, kas attiecas uz fosilajiem </w:t>
      </w:r>
      <w:proofErr w:type="spellStart"/>
      <w:r w:rsidRPr="00C15715">
        <w:rPr>
          <w:rFonts w:eastAsia="Times New Roman" w:cstheme="minorHAnsi"/>
          <w:szCs w:val="24"/>
          <w:lang w:eastAsia="lv-LV"/>
        </w:rPr>
        <w:t>energresursiem</w:t>
      </w:r>
      <w:proofErr w:type="spellEnd"/>
      <w:r w:rsidRPr="00C15715">
        <w:rPr>
          <w:rFonts w:eastAsia="Times New Roman" w:cstheme="minorHAnsi"/>
          <w:szCs w:val="24"/>
          <w:lang w:eastAsia="lv-LV"/>
        </w:rPr>
        <w:t>, attiecībā uz ražošanas ēku pārbūvi un atjaunošanu, paplašinot kūdras apsaimniekošanas uzņēmuma saimniecisko darbību apstrādes rūpniecībā.</w:t>
      </w:r>
    </w:p>
    <w:p w14:paraId="64E89860" w14:textId="77777777" w:rsidR="00D87276" w:rsidRPr="00C15715" w:rsidRDefault="00D87276" w:rsidP="00D87276">
      <w:pPr>
        <w:pStyle w:val="Heading4"/>
      </w:pPr>
      <w:r w:rsidRPr="00C15715">
        <w:t xml:space="preserve">Netiešie </w:t>
      </w:r>
      <w:proofErr w:type="spellStart"/>
      <w:r w:rsidRPr="00C15715">
        <w:t>pārskaitījumi</w:t>
      </w:r>
      <w:proofErr w:type="spellEnd"/>
    </w:p>
    <w:p w14:paraId="4A2A8439"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t>Saskaņā ar Elektroenerģijas tirgus likumu Latvijā valsts atbalsta ietvaros tiek piešķirts valsts atbalsts elektroenerģijas ražošanai no atjaunojamiem energoresursiem vai koģenerācijā un saņem maksu par koģenerācijas stacijā uzstādīto jaudu obligātā iepirkuma veidā. Obligātais iepirkums ir valsts noteikts atbalsta mehānisms elektroenerģijas ražotājiem, kas paredz tā finansēšanu no elektroenerģijas galalietotāju maksājumiem. Obligātā iepirkuma izmaksas proporcionāli savam elektroenerģijas patēriņam sedz visi Latvijas elektroenerģijas galalietotāji, kuriem tiek piemērota obligātā iepirkuma komponente, kas papildus elektroenerģijas tirgus cenai, sadales un pārvades tarifam un pievienotās vērtības nodoklim tiek iekļauta elektroenerģijas gala cenā.</w:t>
      </w:r>
    </w:p>
    <w:p w14:paraId="5C1F6761" w14:textId="23E4D096" w:rsidR="00D87276" w:rsidRPr="00C15715" w:rsidRDefault="00D87276" w:rsidP="00D87276">
      <w:pPr>
        <w:pStyle w:val="Caption"/>
        <w:rPr>
          <w:rFonts w:asciiTheme="minorHAnsi" w:hAnsiTheme="minorHAnsi" w:cstheme="minorHAnsi"/>
          <w:szCs w:val="24"/>
        </w:rPr>
      </w:pPr>
      <w:r w:rsidRPr="00C15715">
        <w:rPr>
          <w:rFonts w:asciiTheme="minorHAnsi" w:hAnsiTheme="minorHAnsi" w:cstheme="minorHAnsi"/>
          <w:szCs w:val="24"/>
        </w:rPr>
        <w:tab/>
      </w: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1121B4">
        <w:rPr>
          <w:rFonts w:asciiTheme="minorHAnsi" w:hAnsiTheme="minorHAnsi" w:cstheme="minorHAnsi"/>
          <w:noProof/>
          <w:szCs w:val="24"/>
        </w:rPr>
        <w:t>9</w:t>
      </w:r>
      <w:r w:rsidRPr="00C15715">
        <w:rPr>
          <w:rFonts w:asciiTheme="minorHAnsi" w:hAnsiTheme="minorHAnsi" w:cstheme="minorHAnsi"/>
          <w:szCs w:val="24"/>
        </w:rPr>
        <w:fldChar w:fldCharType="end"/>
      </w:r>
      <w:r w:rsidRPr="00C15715">
        <w:rPr>
          <w:rFonts w:asciiTheme="minorHAnsi" w:hAnsiTheme="minorHAnsi" w:cstheme="minorHAnsi"/>
          <w:szCs w:val="24"/>
        </w:rPr>
        <w:t>.tabula. 2018.gadā obligātā iepirkuma mehānisma ietvaros saņemtais atbalsts virs tirgus cenas</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2256"/>
      </w:tblGrid>
      <w:tr w:rsidR="00D87276" w:rsidRPr="002930BD" w14:paraId="38615E7C" w14:textId="77777777" w:rsidTr="002930BD">
        <w:trPr>
          <w:trHeight w:val="330"/>
          <w:tblHeader/>
          <w:jc w:val="center"/>
        </w:trPr>
        <w:tc>
          <w:tcPr>
            <w:tcW w:w="5525" w:type="dxa"/>
            <w:shd w:val="clear" w:color="auto" w:fill="F2F2F2" w:themeFill="background1" w:themeFillShade="F2"/>
            <w:noWrap/>
            <w:vAlign w:val="center"/>
            <w:hideMark/>
          </w:tcPr>
          <w:p w14:paraId="3BCDEAED" w14:textId="77777777" w:rsidR="00D87276" w:rsidRPr="002930BD" w:rsidRDefault="00D87276" w:rsidP="002930BD">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Saņemtais atbalsta veids</w:t>
            </w:r>
          </w:p>
        </w:tc>
        <w:tc>
          <w:tcPr>
            <w:tcW w:w="2256" w:type="dxa"/>
            <w:shd w:val="clear" w:color="auto" w:fill="F2F2F2" w:themeFill="background1" w:themeFillShade="F2"/>
            <w:noWrap/>
            <w:vAlign w:val="center"/>
            <w:hideMark/>
          </w:tcPr>
          <w:p w14:paraId="65BA5525" w14:textId="77777777" w:rsidR="00D87276" w:rsidRPr="002930BD" w:rsidRDefault="00D87276" w:rsidP="002930BD">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EUR/2018.gadā</w:t>
            </w:r>
          </w:p>
        </w:tc>
      </w:tr>
      <w:tr w:rsidR="00D87276" w:rsidRPr="00C15715" w14:paraId="659D0C7F" w14:textId="77777777" w:rsidTr="00F97BC0">
        <w:trPr>
          <w:trHeight w:val="330"/>
          <w:jc w:val="center"/>
        </w:trPr>
        <w:tc>
          <w:tcPr>
            <w:tcW w:w="5525" w:type="dxa"/>
            <w:shd w:val="clear" w:color="auto" w:fill="auto"/>
            <w:noWrap/>
            <w:vAlign w:val="center"/>
            <w:hideMark/>
          </w:tcPr>
          <w:p w14:paraId="0A72800F" w14:textId="77777777" w:rsidR="00D87276" w:rsidRPr="00C15715" w:rsidRDefault="00D87276" w:rsidP="00F97BC0">
            <w:pPr>
              <w:spacing w:after="0" w:line="240" w:lineRule="auto"/>
              <w:rPr>
                <w:rFonts w:eastAsia="Times New Roman" w:cstheme="minorHAnsi"/>
                <w:szCs w:val="24"/>
                <w:lang w:eastAsia="lv-LV"/>
              </w:rPr>
            </w:pPr>
            <w:r w:rsidRPr="00C15715">
              <w:rPr>
                <w:rFonts w:eastAsia="Times New Roman" w:cstheme="minorHAnsi"/>
                <w:szCs w:val="24"/>
                <w:lang w:eastAsia="lv-LV"/>
              </w:rPr>
              <w:t xml:space="preserve">maksa par </w:t>
            </w:r>
            <w:r w:rsidRPr="00C15715">
              <w:rPr>
                <w:rFonts w:cstheme="minorHAnsi"/>
                <w:szCs w:val="24"/>
              </w:rPr>
              <w:t>koģenerācijas stacijā uzstādīto jaudu</w:t>
            </w:r>
          </w:p>
        </w:tc>
        <w:tc>
          <w:tcPr>
            <w:tcW w:w="2256" w:type="dxa"/>
            <w:shd w:val="clear" w:color="auto" w:fill="auto"/>
            <w:noWrap/>
            <w:vAlign w:val="center"/>
            <w:hideMark/>
          </w:tcPr>
          <w:p w14:paraId="65A77E16" w14:textId="77777777" w:rsidR="00D87276" w:rsidRPr="00C15715" w:rsidRDefault="00D87276" w:rsidP="00F97BC0">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37 718 743</w:t>
            </w:r>
          </w:p>
        </w:tc>
      </w:tr>
      <w:tr w:rsidR="00D87276" w:rsidRPr="00C15715" w14:paraId="6503D72A" w14:textId="77777777" w:rsidTr="00F97BC0">
        <w:trPr>
          <w:trHeight w:val="315"/>
          <w:jc w:val="center"/>
        </w:trPr>
        <w:tc>
          <w:tcPr>
            <w:tcW w:w="5525" w:type="dxa"/>
            <w:shd w:val="clear" w:color="auto" w:fill="auto"/>
            <w:noWrap/>
            <w:vAlign w:val="center"/>
            <w:hideMark/>
          </w:tcPr>
          <w:p w14:paraId="54F563AA" w14:textId="77777777" w:rsidR="00D87276" w:rsidRPr="00C15715" w:rsidRDefault="00D87276" w:rsidP="00F97BC0">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koģenerācijā</w:t>
            </w:r>
          </w:p>
        </w:tc>
        <w:tc>
          <w:tcPr>
            <w:tcW w:w="2256" w:type="dxa"/>
            <w:shd w:val="clear" w:color="auto" w:fill="auto"/>
            <w:noWrap/>
            <w:vAlign w:val="center"/>
            <w:hideMark/>
          </w:tcPr>
          <w:p w14:paraId="64FD5070" w14:textId="77777777" w:rsidR="00D87276" w:rsidRPr="00C15715" w:rsidRDefault="00D87276" w:rsidP="00F97BC0">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24 943 462</w:t>
            </w:r>
          </w:p>
        </w:tc>
      </w:tr>
      <w:tr w:rsidR="00D87276" w:rsidRPr="00C15715" w14:paraId="78C36363" w14:textId="77777777" w:rsidTr="00F97BC0">
        <w:trPr>
          <w:trHeight w:val="315"/>
          <w:jc w:val="center"/>
        </w:trPr>
        <w:tc>
          <w:tcPr>
            <w:tcW w:w="5525" w:type="dxa"/>
            <w:shd w:val="clear" w:color="auto" w:fill="auto"/>
            <w:noWrap/>
            <w:vAlign w:val="center"/>
            <w:hideMark/>
          </w:tcPr>
          <w:p w14:paraId="5F625779" w14:textId="77777777" w:rsidR="00D87276" w:rsidRPr="00C15715" w:rsidRDefault="00D87276" w:rsidP="00F97BC0">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biogāzes stacijās</w:t>
            </w:r>
          </w:p>
        </w:tc>
        <w:tc>
          <w:tcPr>
            <w:tcW w:w="2256" w:type="dxa"/>
            <w:shd w:val="clear" w:color="auto" w:fill="auto"/>
            <w:noWrap/>
            <w:vAlign w:val="center"/>
            <w:hideMark/>
          </w:tcPr>
          <w:p w14:paraId="5AC2A867" w14:textId="77777777" w:rsidR="00D87276" w:rsidRPr="00C15715" w:rsidRDefault="00D87276" w:rsidP="00F97BC0">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43 444 604</w:t>
            </w:r>
          </w:p>
        </w:tc>
      </w:tr>
      <w:tr w:rsidR="00D87276" w:rsidRPr="00C15715" w14:paraId="79033308" w14:textId="77777777" w:rsidTr="00F97BC0">
        <w:trPr>
          <w:trHeight w:val="315"/>
          <w:jc w:val="center"/>
        </w:trPr>
        <w:tc>
          <w:tcPr>
            <w:tcW w:w="5525" w:type="dxa"/>
            <w:shd w:val="clear" w:color="auto" w:fill="auto"/>
            <w:noWrap/>
            <w:vAlign w:val="center"/>
            <w:hideMark/>
          </w:tcPr>
          <w:p w14:paraId="7AC8C359" w14:textId="77777777" w:rsidR="00D87276" w:rsidRPr="00C15715" w:rsidRDefault="00D87276" w:rsidP="00F97BC0">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biomasas stacijās</w:t>
            </w:r>
          </w:p>
        </w:tc>
        <w:tc>
          <w:tcPr>
            <w:tcW w:w="2256" w:type="dxa"/>
            <w:shd w:val="clear" w:color="auto" w:fill="auto"/>
            <w:noWrap/>
            <w:vAlign w:val="center"/>
            <w:hideMark/>
          </w:tcPr>
          <w:p w14:paraId="02FB2D3D" w14:textId="77777777" w:rsidR="00D87276" w:rsidRPr="00C15715" w:rsidRDefault="00D87276" w:rsidP="00F97BC0">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41 086 552</w:t>
            </w:r>
          </w:p>
        </w:tc>
      </w:tr>
      <w:tr w:rsidR="00D87276" w:rsidRPr="00C15715" w14:paraId="5894E570" w14:textId="77777777" w:rsidTr="00F97BC0">
        <w:trPr>
          <w:trHeight w:val="315"/>
          <w:jc w:val="center"/>
        </w:trPr>
        <w:tc>
          <w:tcPr>
            <w:tcW w:w="5525" w:type="dxa"/>
            <w:shd w:val="clear" w:color="auto" w:fill="auto"/>
            <w:noWrap/>
            <w:vAlign w:val="center"/>
            <w:hideMark/>
          </w:tcPr>
          <w:p w14:paraId="0AC9AAC1" w14:textId="77777777" w:rsidR="00D87276" w:rsidRPr="00C15715" w:rsidRDefault="00D87276" w:rsidP="00F97BC0">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HES</w:t>
            </w:r>
          </w:p>
        </w:tc>
        <w:tc>
          <w:tcPr>
            <w:tcW w:w="2256" w:type="dxa"/>
            <w:shd w:val="clear" w:color="auto" w:fill="auto"/>
            <w:noWrap/>
            <w:vAlign w:val="center"/>
            <w:hideMark/>
          </w:tcPr>
          <w:p w14:paraId="75A8676E" w14:textId="77777777" w:rsidR="00D87276" w:rsidRPr="00C15715" w:rsidRDefault="00D87276" w:rsidP="00F97BC0">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5 172 712</w:t>
            </w:r>
          </w:p>
        </w:tc>
      </w:tr>
      <w:tr w:rsidR="00D87276" w:rsidRPr="00C15715" w14:paraId="19715AC2" w14:textId="77777777" w:rsidTr="00F97BC0">
        <w:trPr>
          <w:trHeight w:val="315"/>
          <w:jc w:val="center"/>
        </w:trPr>
        <w:tc>
          <w:tcPr>
            <w:tcW w:w="5525" w:type="dxa"/>
            <w:shd w:val="clear" w:color="auto" w:fill="auto"/>
            <w:noWrap/>
            <w:vAlign w:val="center"/>
            <w:hideMark/>
          </w:tcPr>
          <w:p w14:paraId="6332EAE7" w14:textId="77777777" w:rsidR="00D87276" w:rsidRPr="00C15715" w:rsidRDefault="00D87276" w:rsidP="00F97BC0">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VES</w:t>
            </w:r>
          </w:p>
        </w:tc>
        <w:tc>
          <w:tcPr>
            <w:tcW w:w="2256" w:type="dxa"/>
            <w:shd w:val="clear" w:color="auto" w:fill="auto"/>
            <w:noWrap/>
            <w:vAlign w:val="center"/>
            <w:hideMark/>
          </w:tcPr>
          <w:p w14:paraId="336A8B5E" w14:textId="77777777" w:rsidR="00D87276" w:rsidRPr="00C15715" w:rsidRDefault="00D87276" w:rsidP="00F97BC0">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6 530 299</w:t>
            </w:r>
          </w:p>
        </w:tc>
      </w:tr>
    </w:tbl>
    <w:p w14:paraId="2CB39480"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lastRenderedPageBreak/>
        <w:t>Viens Latvijas komersants, kas saņem garantēto maksu par uzstādīto elektrisko jaudu, atbilstoši noteiktajam ierobežojumam cita starpā izmanto kūdru kā resursu enerģijas ieguvei. 2018. gadā elektrostacijā izmantotais kūdras apjoms sastādīja ap 6% no enerģijas ieguvei izmantotajiem resursiem pēc enerģētiskās vērtības.</w:t>
      </w:r>
    </w:p>
    <w:p w14:paraId="0054CC0B" w14:textId="77777777" w:rsidR="00D87276" w:rsidRPr="00C15715" w:rsidRDefault="00D87276" w:rsidP="00D87276">
      <w:pPr>
        <w:spacing w:before="120" w:after="120" w:line="240" w:lineRule="auto"/>
        <w:jc w:val="both"/>
        <w:rPr>
          <w:rFonts w:cstheme="minorHAnsi"/>
        </w:rPr>
      </w:pPr>
    </w:p>
    <w:p w14:paraId="502477CB" w14:textId="77777777" w:rsidR="00D87276" w:rsidRPr="00C15715" w:rsidRDefault="00D87276" w:rsidP="00D87276">
      <w:pPr>
        <w:pStyle w:val="Heading20"/>
      </w:pPr>
      <w:bookmarkStart w:id="11" w:name="_Toc14175492"/>
      <w:bookmarkStart w:id="12" w:name="_Toc14212408"/>
      <w:bookmarkStart w:id="13" w:name="_Toc14246587"/>
      <w:bookmarkStart w:id="14" w:name="_Toc14777186"/>
      <w:bookmarkStart w:id="15" w:name="_Toc14777234"/>
      <w:bookmarkStart w:id="16" w:name="_Toc14964194"/>
      <w:bookmarkStart w:id="17" w:name="_Toc14965347"/>
      <w:bookmarkStart w:id="18" w:name="_Toc15367244"/>
      <w:bookmarkStart w:id="19" w:name="_Toc17874565"/>
      <w:bookmarkStart w:id="20" w:name="_Toc17878294"/>
      <w:bookmarkStart w:id="21" w:name="_Toc17878295"/>
      <w:bookmarkEnd w:id="11"/>
      <w:bookmarkEnd w:id="12"/>
      <w:bookmarkEnd w:id="13"/>
      <w:bookmarkEnd w:id="14"/>
      <w:bookmarkEnd w:id="15"/>
      <w:bookmarkEnd w:id="16"/>
      <w:bookmarkEnd w:id="17"/>
      <w:bookmarkEnd w:id="18"/>
      <w:bookmarkEnd w:id="19"/>
      <w:bookmarkEnd w:id="20"/>
      <w:r w:rsidRPr="00C15715">
        <w:t>Pētniecība, inovācija un konkurētspēja</w:t>
      </w:r>
      <w:bookmarkEnd w:id="21"/>
      <w:r w:rsidRPr="00C15715">
        <w:t xml:space="preserve"> </w:t>
      </w:r>
    </w:p>
    <w:p w14:paraId="221490A0" w14:textId="77777777" w:rsidR="00D87276" w:rsidRPr="00C15715" w:rsidRDefault="00D87276" w:rsidP="00D87276">
      <w:pPr>
        <w:pStyle w:val="Heading30"/>
      </w:pPr>
      <w:r w:rsidRPr="00C15715">
        <w:t>Pašreizējā situācija pētniecības, inovāciju un konkurētspējas uzlabošanas jomā un tehnoloģiju sektorā</w:t>
      </w:r>
    </w:p>
    <w:p w14:paraId="09FCFEE1" w14:textId="77777777" w:rsidR="00D87276" w:rsidRPr="00C15715" w:rsidRDefault="00D87276" w:rsidP="00D87276">
      <w:pPr>
        <w:spacing w:before="120" w:after="120" w:line="240" w:lineRule="auto"/>
        <w:jc w:val="both"/>
        <w:rPr>
          <w:rFonts w:cstheme="minorHAnsi"/>
          <w:b/>
          <w:szCs w:val="24"/>
        </w:rPr>
      </w:pPr>
      <w:r w:rsidRPr="00C15715">
        <w:rPr>
          <w:rFonts w:cstheme="minorHAnsi"/>
        </w:rPr>
        <w:t xml:space="preserve">Esošajās P&amp;I un nozaru </w:t>
      </w:r>
      <w:proofErr w:type="spellStart"/>
      <w:r w:rsidRPr="00C15715">
        <w:rPr>
          <w:rFonts w:cstheme="minorHAnsi"/>
        </w:rPr>
        <w:t>rīcībpolitikās</w:t>
      </w:r>
      <w:proofErr w:type="spellEnd"/>
      <w:r w:rsidRPr="00C15715">
        <w:rPr>
          <w:rFonts w:cstheme="minorHAnsi"/>
        </w:rPr>
        <w:t xml:space="preserve"> ir atbalstītas dažādu jomu P&amp;I aktivitātes, taču</w:t>
      </w:r>
      <w:r w:rsidRPr="00C15715">
        <w:rPr>
          <w:rFonts w:cstheme="minorHAnsi"/>
          <w:bCs/>
        </w:rPr>
        <w:t xml:space="preserve"> nav izvirzīti specifiski mērķi tīro tehnoloģiju attīstīšanai, ieviešanai ar mērķi sasniegt specifiskus energoefektivitātes un dekarbonizācijas mērķus.</w:t>
      </w:r>
    </w:p>
    <w:p w14:paraId="49CAAC6B" w14:textId="77777777" w:rsidR="00D87276" w:rsidRPr="00C15715" w:rsidRDefault="00D87276" w:rsidP="00D87276">
      <w:pPr>
        <w:pStyle w:val="Standard"/>
        <w:spacing w:before="120" w:after="120"/>
        <w:jc w:val="both"/>
        <w:rPr>
          <w:rFonts w:asciiTheme="minorHAnsi" w:hAnsiTheme="minorHAnsi" w:cstheme="minorHAnsi"/>
        </w:rPr>
      </w:pPr>
      <w:r w:rsidRPr="00C15715">
        <w:rPr>
          <w:rFonts w:asciiTheme="minorHAnsi" w:hAnsiTheme="minorHAnsi" w:cstheme="minorHAnsi"/>
        </w:rPr>
        <w:t>Zinātnisko darbinieku (zinātnieki, zinātnes tehniskais un apkalpojošais personāls) skaits Latvijā (pilna laika ekvivalenta  izteiksmē – PLE) 2017.gadā bija 5378, kas veido 0,62% no Latvijā nodarbināto kopskaita, kas ir gandrīz uz pusi mazāk nekā ES vidējais rādītājs (1,39%) (</w:t>
      </w:r>
      <w:proofErr w:type="spellStart"/>
      <w:r w:rsidRPr="00C15715">
        <w:rPr>
          <w:rFonts w:asciiTheme="minorHAnsi" w:hAnsiTheme="minorHAnsi" w:cstheme="minorHAnsi"/>
        </w:rPr>
        <w:t>Eurostat</w:t>
      </w:r>
      <w:proofErr w:type="spellEnd"/>
      <w:r w:rsidRPr="00C15715">
        <w:rPr>
          <w:rFonts w:asciiTheme="minorHAnsi" w:hAnsiTheme="minorHAnsi" w:cstheme="minorHAnsi"/>
        </w:rPr>
        <w:t>, 2017). No kopējā Latvijas zinātniskā personāla skaita (PLE), aptuveni 1000 jeb 18% ir saistīti ar pētniecību Enerģētikas savienības prioritārajās jomās</w:t>
      </w:r>
      <w:r w:rsidRPr="00C15715">
        <w:rPr>
          <w:rStyle w:val="FootnoteReference"/>
          <w:rFonts w:asciiTheme="minorHAnsi" w:hAnsiTheme="minorHAnsi" w:cstheme="minorHAnsi"/>
        </w:rPr>
        <w:footnoteReference w:id="60"/>
      </w:r>
      <w:r w:rsidRPr="00C15715">
        <w:rPr>
          <w:rFonts w:asciiTheme="minorHAnsi" w:hAnsiTheme="minorHAnsi" w:cstheme="minorHAnsi"/>
        </w:rPr>
        <w:t xml:space="preserve"> - enerģētika, būvniecība, klimats, vides </w:t>
      </w:r>
      <w:proofErr w:type="spellStart"/>
      <w:r w:rsidRPr="00C15715">
        <w:rPr>
          <w:rFonts w:asciiTheme="minorHAnsi" w:hAnsiTheme="minorHAnsi" w:cstheme="minorHAnsi"/>
        </w:rPr>
        <w:t>inženiertehnoloģijas</w:t>
      </w:r>
      <w:proofErr w:type="spellEnd"/>
      <w:r w:rsidRPr="00C15715">
        <w:rPr>
          <w:rFonts w:asciiTheme="minorHAnsi" w:hAnsiTheme="minorHAnsi" w:cstheme="minorHAnsi"/>
        </w:rPr>
        <w:t>.</w:t>
      </w:r>
    </w:p>
    <w:p w14:paraId="7F4564ED" w14:textId="77777777" w:rsidR="00D87276" w:rsidRPr="00C15715" w:rsidRDefault="00D87276" w:rsidP="00D87276">
      <w:pPr>
        <w:pStyle w:val="Standard"/>
        <w:spacing w:before="120" w:after="120"/>
        <w:jc w:val="both"/>
        <w:rPr>
          <w:rFonts w:asciiTheme="minorHAnsi" w:eastAsia="Times New Roman" w:hAnsiTheme="minorHAnsi" w:cstheme="minorHAnsi"/>
        </w:rPr>
      </w:pPr>
      <w:r w:rsidRPr="00C15715">
        <w:rPr>
          <w:rFonts w:asciiTheme="minorHAnsi" w:eastAsia="Times New Roman" w:hAnsiTheme="minorHAnsi" w:cstheme="minorHAnsi"/>
        </w:rPr>
        <w:t xml:space="preserve">Salīdzinot starp 50 Eiropas Patentu birojā reģistrētajām valstīm, 2018. gadā pēc kopējiem patentu aktivitātes rādītājiem pēc iedzīvotāju skaita, Latvija ierindojās 39. vietā ar 6,2 patentu pieteikumiem uz 1 milj. iedzīvotāju. Laika periodā no 2014.-2017. </w:t>
      </w:r>
      <w:r w:rsidRPr="00C15715">
        <w:rPr>
          <w:rFonts w:asciiTheme="minorHAnsi" w:hAnsiTheme="minorHAnsi" w:cstheme="minorHAnsi"/>
        </w:rPr>
        <w:t>gadam Eiropas Patentu birojā</w:t>
      </w:r>
      <w:r w:rsidRPr="00C15715">
        <w:rPr>
          <w:rStyle w:val="FootnoteReference"/>
          <w:rFonts w:asciiTheme="minorHAnsi" w:hAnsiTheme="minorHAnsi" w:cstheme="minorHAnsi"/>
        </w:rPr>
        <w:footnoteReference w:id="61"/>
      </w:r>
      <w:r w:rsidRPr="00C15715">
        <w:rPr>
          <w:rFonts w:asciiTheme="minorHAnsi" w:hAnsiTheme="minorHAnsi" w:cstheme="minorHAnsi"/>
        </w:rPr>
        <w:t xml:space="preserve"> no 63 Latvijas rezidentu patentu pieteikumi, no kuriem 11 jeb 17% patentu reģistrēti </w:t>
      </w:r>
      <w:r w:rsidRPr="00C15715">
        <w:rPr>
          <w:rFonts w:asciiTheme="minorHAnsi" w:eastAsia="Times New Roman" w:hAnsiTheme="minorHAnsi" w:cstheme="minorHAnsi"/>
        </w:rPr>
        <w:t>saistībā ar viedās enerģētikas un tīro tehnoloģiju jomu (</w:t>
      </w:r>
      <w:proofErr w:type="spellStart"/>
      <w:r w:rsidRPr="00C15715">
        <w:rPr>
          <w:rFonts w:asciiTheme="minorHAnsi" w:eastAsia="Times New Roman" w:hAnsiTheme="minorHAnsi" w:cstheme="minorHAnsi"/>
          <w:lang w:eastAsia="lv-LV"/>
        </w:rPr>
        <w:t>Inženiertehnoloģijas</w:t>
      </w:r>
      <w:proofErr w:type="spellEnd"/>
      <w:r w:rsidRPr="00C15715">
        <w:rPr>
          <w:rFonts w:asciiTheme="minorHAnsi" w:eastAsia="Times New Roman" w:hAnsiTheme="minorHAnsi" w:cstheme="minorHAnsi"/>
          <w:lang w:eastAsia="lv-LV"/>
        </w:rPr>
        <w:t xml:space="preserve">, apgaismojums, siltumapgāde; Elektrība; Mehānika, materiāli un citas </w:t>
      </w:r>
      <w:proofErr w:type="spellStart"/>
      <w:r w:rsidRPr="00C15715">
        <w:rPr>
          <w:rFonts w:asciiTheme="minorHAnsi" w:eastAsia="Times New Roman" w:hAnsiTheme="minorHAnsi" w:cstheme="minorHAnsi"/>
          <w:lang w:eastAsia="lv-LV"/>
        </w:rPr>
        <w:t>inženiertehnoloģijas</w:t>
      </w:r>
      <w:proofErr w:type="spellEnd"/>
      <w:r w:rsidRPr="00C15715">
        <w:rPr>
          <w:rFonts w:asciiTheme="minorHAnsi" w:eastAsia="Times New Roman" w:hAnsiTheme="minorHAnsi" w:cstheme="minorHAnsi"/>
          <w:lang w:eastAsia="lv-LV"/>
        </w:rPr>
        <w:t>)</w:t>
      </w:r>
      <w:r w:rsidRPr="00C15715">
        <w:rPr>
          <w:rFonts w:asciiTheme="minorHAnsi" w:eastAsia="Times New Roman" w:hAnsiTheme="minorHAnsi" w:cstheme="minorHAnsi"/>
        </w:rPr>
        <w:t xml:space="preserve">. Vairumā gadījumu reģistrēti patenti saistībā ar uz inovatīvām biomasas sadedzināšanas iekārtām, biodegvielām, vēja un saules enerģijas tehnoloģijām. </w:t>
      </w:r>
    </w:p>
    <w:p w14:paraId="243DD30F" w14:textId="77777777" w:rsidR="00D87276" w:rsidRPr="00C15715" w:rsidRDefault="00D87276" w:rsidP="00D87276">
      <w:pPr>
        <w:spacing w:before="120" w:after="120" w:line="240" w:lineRule="auto"/>
        <w:jc w:val="both"/>
        <w:rPr>
          <w:rFonts w:cstheme="minorHAnsi"/>
          <w:szCs w:val="24"/>
        </w:rPr>
      </w:pPr>
      <w:r w:rsidRPr="00C15715">
        <w:rPr>
          <w:rFonts w:cstheme="minorHAnsi"/>
          <w:szCs w:val="24"/>
        </w:rPr>
        <w:t xml:space="preserve">Ņemot vērā esošās attīstības tendences, globālos izaicinājumus un nozaru potenciālās iespējas virzībā uz augstākas pievienotās vērtības produktu ražošanu NIPP2020 ir noteikts mērķis </w:t>
      </w:r>
      <w:r w:rsidRPr="00C15715">
        <w:rPr>
          <w:rFonts w:cstheme="minorHAnsi"/>
          <w:color w:val="000000"/>
          <w:szCs w:val="24"/>
          <w:shd w:val="clear" w:color="auto" w:fill="FFFFFF"/>
        </w:rPr>
        <w:t>veicināt ekonomikas strukturālās izmaiņas par labu preču un pakalpojumu ar augstāku ienesīgumu ražošanai, t.sk. rūpniecības lomas palielināšanai, rūpniecības un pakalpojumu modernizācijai un dažādākam eksporta grozam.</w:t>
      </w:r>
    </w:p>
    <w:p w14:paraId="72D69CC5" w14:textId="77777777" w:rsidR="00D87276" w:rsidRPr="00C15715" w:rsidRDefault="00D87276" w:rsidP="00D87276">
      <w:pPr>
        <w:spacing w:before="120" w:after="120" w:line="240" w:lineRule="auto"/>
        <w:jc w:val="both"/>
        <w:rPr>
          <w:rFonts w:cstheme="minorHAnsi"/>
          <w:color w:val="000000"/>
          <w:szCs w:val="24"/>
        </w:rPr>
      </w:pPr>
      <w:r w:rsidRPr="00C15715">
        <w:rPr>
          <w:rFonts w:cstheme="minorHAnsi"/>
          <w:color w:val="000000"/>
          <w:szCs w:val="24"/>
        </w:rPr>
        <w:t>Inovācijas un uzņēmējdarbības atklājuma procesa sekmēšanai Ekonomikas ministrija ir uzsākusi un īsteno vairākas jaunas iniciatīvas:</w:t>
      </w:r>
    </w:p>
    <w:p w14:paraId="2E4925DB" w14:textId="77777777" w:rsidR="00D87276" w:rsidRPr="00C15715" w:rsidRDefault="00D87276" w:rsidP="00D87276">
      <w:pPr>
        <w:pStyle w:val="NormalWeb"/>
        <w:numPr>
          <w:ilvl w:val="0"/>
          <w:numId w:val="13"/>
        </w:numPr>
        <w:autoSpaceDN w:val="0"/>
        <w:spacing w:before="120" w:beforeAutospacing="0" w:after="120" w:afterAutospacing="0"/>
        <w:ind w:left="454" w:hanging="454"/>
        <w:jc w:val="both"/>
        <w:rPr>
          <w:rFonts w:asciiTheme="minorHAnsi" w:hAnsiTheme="minorHAnsi" w:cstheme="minorHAnsi"/>
          <w:color w:val="000000"/>
          <w:lang w:eastAsia="en-US"/>
        </w:rPr>
      </w:pPr>
      <w:proofErr w:type="spellStart"/>
      <w:r w:rsidRPr="00C15715">
        <w:rPr>
          <w:rFonts w:asciiTheme="minorHAnsi" w:hAnsiTheme="minorHAnsi" w:cstheme="minorHAnsi"/>
          <w:bCs/>
        </w:rPr>
        <w:t>jaunuzņēmumu</w:t>
      </w:r>
      <w:proofErr w:type="spellEnd"/>
      <w:r w:rsidRPr="00C15715">
        <w:rPr>
          <w:rFonts w:asciiTheme="minorHAnsi" w:hAnsiTheme="minorHAnsi" w:cstheme="minorHAnsi"/>
          <w:bCs/>
        </w:rPr>
        <w:t xml:space="preserve"> (start-</w:t>
      </w:r>
      <w:proofErr w:type="spellStart"/>
      <w:r w:rsidRPr="00C15715">
        <w:rPr>
          <w:rFonts w:asciiTheme="minorHAnsi" w:hAnsiTheme="minorHAnsi" w:cstheme="minorHAnsi"/>
          <w:bCs/>
        </w:rPr>
        <w:t>up</w:t>
      </w:r>
      <w:proofErr w:type="spellEnd"/>
      <w:r w:rsidRPr="00C15715">
        <w:rPr>
          <w:rFonts w:asciiTheme="minorHAnsi" w:hAnsiTheme="minorHAnsi" w:cstheme="minorHAnsi"/>
          <w:bCs/>
        </w:rPr>
        <w:t>) ekosistēmas attīstības</w:t>
      </w:r>
      <w:r w:rsidRPr="00C15715">
        <w:rPr>
          <w:rFonts w:asciiTheme="minorHAnsi" w:hAnsiTheme="minorHAnsi" w:cstheme="minorHAnsi"/>
        </w:rPr>
        <w:t xml:space="preserve"> veicināšana - normatīvā regulējuma – </w:t>
      </w:r>
      <w:proofErr w:type="spellStart"/>
      <w:r w:rsidRPr="00C15715">
        <w:rPr>
          <w:rFonts w:asciiTheme="minorHAnsi" w:hAnsiTheme="minorHAnsi" w:cstheme="minorHAnsi"/>
        </w:rPr>
        <w:t>Jaunuzņēmumu</w:t>
      </w:r>
      <w:proofErr w:type="spellEnd"/>
      <w:r w:rsidRPr="00C15715">
        <w:rPr>
          <w:rFonts w:asciiTheme="minorHAnsi" w:hAnsiTheme="minorHAnsi" w:cstheme="minorHAnsi"/>
        </w:rPr>
        <w:t xml:space="preserve"> darbības atbalsta likuma</w:t>
      </w:r>
      <w:r w:rsidRPr="00C15715">
        <w:rPr>
          <w:rStyle w:val="FootnoteReference"/>
          <w:rFonts w:asciiTheme="minorHAnsi" w:hAnsiTheme="minorHAnsi" w:cstheme="minorHAnsi"/>
        </w:rPr>
        <w:footnoteReference w:id="62"/>
      </w:r>
      <w:r w:rsidRPr="00C15715">
        <w:rPr>
          <w:rFonts w:asciiTheme="minorHAnsi" w:hAnsiTheme="minorHAnsi" w:cstheme="minorHAnsi"/>
        </w:rPr>
        <w:t xml:space="preserve"> - izveide, vienas pieturas aģentūras – LIAA – informatīvais un administratīvais atbalsts </w:t>
      </w:r>
      <w:proofErr w:type="spellStart"/>
      <w:r w:rsidRPr="00C15715">
        <w:rPr>
          <w:rFonts w:asciiTheme="minorHAnsi" w:hAnsiTheme="minorHAnsi" w:cstheme="minorHAnsi"/>
        </w:rPr>
        <w:t>jaunuzņēmumiem</w:t>
      </w:r>
      <w:proofErr w:type="spellEnd"/>
      <w:r w:rsidRPr="00C15715">
        <w:rPr>
          <w:rFonts w:asciiTheme="minorHAnsi" w:hAnsiTheme="minorHAnsi" w:cstheme="minorHAnsi"/>
        </w:rPr>
        <w:t xml:space="preserve">, tai skaitā atbalsts dalībai starptautiskās nozares konferencēs un divpusējās tikšanās ar investoriem; </w:t>
      </w:r>
      <w:r w:rsidRPr="00C15715">
        <w:rPr>
          <w:rFonts w:asciiTheme="minorHAnsi" w:hAnsiTheme="minorHAnsi" w:cstheme="minorHAnsi"/>
          <w:bCs/>
        </w:rPr>
        <w:t>riska kapitāla finansējuma</w:t>
      </w:r>
      <w:r w:rsidRPr="00C15715">
        <w:rPr>
          <w:rFonts w:asciiTheme="minorHAnsi" w:hAnsiTheme="minorHAnsi" w:cstheme="minorHAnsi"/>
        </w:rPr>
        <w:t xml:space="preserve"> pieejamības nodrošināšana, atvieglojumi – </w:t>
      </w:r>
      <w:proofErr w:type="spellStart"/>
      <w:r w:rsidRPr="00C15715">
        <w:rPr>
          <w:rFonts w:asciiTheme="minorHAnsi" w:hAnsiTheme="minorHAnsi" w:cstheme="minorHAnsi"/>
        </w:rPr>
        <w:t>jaunuzņēmumu</w:t>
      </w:r>
      <w:proofErr w:type="spellEnd"/>
      <w:r w:rsidRPr="00C15715">
        <w:rPr>
          <w:rFonts w:asciiTheme="minorHAnsi" w:hAnsiTheme="minorHAnsi" w:cstheme="minorHAnsi"/>
        </w:rPr>
        <w:t xml:space="preserve"> vīzas- jaunu augsti izglītotu darbinieku piesaistei no trešajām valstīm,  </w:t>
      </w:r>
      <w:r w:rsidRPr="00C15715">
        <w:rPr>
          <w:rFonts w:asciiTheme="minorHAnsi" w:hAnsiTheme="minorHAnsi" w:cstheme="minorHAnsi"/>
          <w:lang w:eastAsia="en-US"/>
        </w:rPr>
        <w:t>kas piedāvā atvieglotus nosacījumus ES zilās kartes saņemšanai;</w:t>
      </w:r>
    </w:p>
    <w:p w14:paraId="473E18CD" w14:textId="77777777" w:rsidR="00D87276" w:rsidRPr="00C15715" w:rsidRDefault="00D87276" w:rsidP="00D87276">
      <w:pPr>
        <w:pStyle w:val="ListParagraph"/>
        <w:numPr>
          <w:ilvl w:val="0"/>
          <w:numId w:val="13"/>
        </w:numPr>
        <w:autoSpaceDN w:val="0"/>
        <w:spacing w:before="120" w:after="120" w:line="240" w:lineRule="auto"/>
        <w:ind w:left="454" w:hanging="454"/>
        <w:contextualSpacing w:val="0"/>
        <w:jc w:val="both"/>
        <w:rPr>
          <w:rFonts w:eastAsia="Times New Roman" w:cstheme="minorHAnsi"/>
        </w:rPr>
      </w:pPr>
      <w:r w:rsidRPr="00C15715">
        <w:rPr>
          <w:rFonts w:eastAsia="Times New Roman" w:cstheme="minorHAnsi"/>
          <w:bCs/>
        </w:rPr>
        <w:lastRenderedPageBreak/>
        <w:t>Valsts kapitālsabiedrību inovācijas platforma</w:t>
      </w:r>
      <w:r w:rsidRPr="00C15715">
        <w:rPr>
          <w:rFonts w:eastAsia="Times New Roman" w:cstheme="minorHAnsi"/>
        </w:rPr>
        <w:t xml:space="preserve"> – izveidota 2018. gadā kā sadarbības platforma starpnozaru inovāciju projektu īstenošanai ar mērķi veicināt Latvijas valsts kapitālsabiedrību investīciju pieaugumu pētniecībā un attīstībā, lai radītu jaunus inovatīvus un eksportspējīgus produktus un pakalpojumus. Platformu izveidoja Ekonomikas ministrija ciešā sadarbībā ar Ministru kabinetu, Pārresoru koordinācijas centru un 4 aktīvākajām valsts kapitālsabiedrībām “Latvenergo”, “LMT”, “Lattelecom”, “Latvijas valsts meži”. </w:t>
      </w:r>
    </w:p>
    <w:p w14:paraId="344A4CEF" w14:textId="77777777" w:rsidR="00D87276" w:rsidRPr="00C15715" w:rsidRDefault="00D87276" w:rsidP="00D87276">
      <w:pPr>
        <w:pStyle w:val="NormalWeb"/>
        <w:numPr>
          <w:ilvl w:val="0"/>
          <w:numId w:val="13"/>
        </w:numPr>
        <w:autoSpaceDN w:val="0"/>
        <w:spacing w:before="120" w:beforeAutospacing="0" w:after="120" w:afterAutospacing="0"/>
        <w:ind w:left="454" w:hanging="454"/>
        <w:jc w:val="both"/>
        <w:rPr>
          <w:rFonts w:asciiTheme="minorHAnsi" w:hAnsiTheme="minorHAnsi" w:cstheme="minorHAnsi"/>
          <w:lang w:eastAsia="en-US"/>
        </w:rPr>
      </w:pPr>
      <w:r w:rsidRPr="00C15715">
        <w:rPr>
          <w:rFonts w:asciiTheme="minorHAnsi" w:hAnsiTheme="minorHAnsi" w:cstheme="minorHAnsi"/>
        </w:rPr>
        <w:t>Latvijas inovāciju un tehnoloģiju atbalsta fonda veidošana –</w:t>
      </w:r>
      <w:r w:rsidRPr="00C15715">
        <w:rPr>
          <w:rFonts w:asciiTheme="minorHAnsi" w:hAnsiTheme="minorHAnsi" w:cstheme="minorHAnsi"/>
          <w:b/>
          <w:bCs/>
        </w:rPr>
        <w:t xml:space="preserve"> </w:t>
      </w:r>
      <w:r w:rsidRPr="00C15715">
        <w:rPr>
          <w:rFonts w:asciiTheme="minorHAnsi" w:hAnsiTheme="minorHAnsi" w:cstheme="minorHAnsi"/>
          <w:bCs/>
        </w:rPr>
        <w:t>šobrīd tiek izvērtētas iespējas fonda izveidei, kura mērķis ir</w:t>
      </w:r>
      <w:r w:rsidRPr="00C15715">
        <w:rPr>
          <w:rFonts w:asciiTheme="minorHAnsi" w:hAnsiTheme="minorHAnsi" w:cstheme="minorHAnsi"/>
          <w:b/>
          <w:bCs/>
        </w:rPr>
        <w:t xml:space="preserve"> </w:t>
      </w:r>
      <w:r w:rsidRPr="00C15715">
        <w:rPr>
          <w:rFonts w:asciiTheme="minorHAnsi" w:hAnsiTheme="minorHAnsi" w:cstheme="minorHAnsi"/>
        </w:rPr>
        <w:t xml:space="preserve">Latvijā attīstīt vienotu pētniecības un inovācijas pārvaldības un tehnoloģiju </w:t>
      </w:r>
      <w:proofErr w:type="spellStart"/>
      <w:r w:rsidRPr="00C15715">
        <w:rPr>
          <w:rFonts w:asciiTheme="minorHAnsi" w:hAnsiTheme="minorHAnsi" w:cstheme="minorHAnsi"/>
        </w:rPr>
        <w:t>pārneses</w:t>
      </w:r>
      <w:proofErr w:type="spellEnd"/>
      <w:r w:rsidRPr="00C15715">
        <w:rPr>
          <w:rFonts w:asciiTheme="minorHAnsi" w:hAnsiTheme="minorHAnsi" w:cstheme="minorHAnsi"/>
        </w:rPr>
        <w:t xml:space="preserve"> ekosistēmu.</w:t>
      </w:r>
    </w:p>
    <w:p w14:paraId="21764C36" w14:textId="77777777" w:rsidR="00D87276" w:rsidRPr="00C15715" w:rsidRDefault="00D87276" w:rsidP="00D87276">
      <w:pPr>
        <w:spacing w:before="120" w:after="120" w:line="240" w:lineRule="auto"/>
        <w:jc w:val="both"/>
        <w:rPr>
          <w:rFonts w:cstheme="minorHAnsi"/>
          <w:lang w:eastAsia="lv-LV"/>
        </w:rPr>
      </w:pPr>
      <w:r w:rsidRPr="00C15715">
        <w:rPr>
          <w:rFonts w:cstheme="minorHAnsi"/>
        </w:rPr>
        <w:t>Vienlaikus, lai sniegtu atbalstu</w:t>
      </w:r>
      <w:r w:rsidRPr="00C15715">
        <w:rPr>
          <w:rFonts w:cstheme="minorHAnsi"/>
          <w:b/>
          <w:bCs/>
        </w:rPr>
        <w:t xml:space="preserve"> </w:t>
      </w:r>
      <w:r w:rsidRPr="00C15715">
        <w:rPr>
          <w:rFonts w:cstheme="minorHAnsi"/>
        </w:rPr>
        <w:t xml:space="preserve">komersantu eksportspējas celšanai un jaunu eksporta tirgu apgūšanai LIAA </w:t>
      </w:r>
      <w:r w:rsidRPr="00C15715">
        <w:rPr>
          <w:rFonts w:cstheme="minorHAnsi"/>
          <w:szCs w:val="24"/>
          <w:lang w:eastAsia="lv-LV"/>
        </w:rPr>
        <w:t xml:space="preserve">programmas </w:t>
      </w:r>
      <w:r w:rsidRPr="00C15715">
        <w:rPr>
          <w:rFonts w:cstheme="minorHAnsi"/>
          <w:szCs w:val="24"/>
        </w:rPr>
        <w:t>"Starptautiskās konkurētspējas veicināšana"</w:t>
      </w:r>
      <w:r w:rsidRPr="00C15715">
        <w:rPr>
          <w:rFonts w:cstheme="minorHAnsi"/>
        </w:rPr>
        <w:t xml:space="preserve"> ietvaros </w:t>
      </w:r>
      <w:r w:rsidRPr="00C15715">
        <w:rPr>
          <w:rFonts w:cstheme="minorHAnsi"/>
          <w:szCs w:val="24"/>
        </w:rPr>
        <w:t xml:space="preserve">piedāvā komersantiem plašu eksporta un starptautiskās konkurētspējas veicināšanas pasākumu klāstu, sniedzot atbalstu komersantu </w:t>
      </w:r>
      <w:r w:rsidRPr="00C15715">
        <w:rPr>
          <w:rFonts w:eastAsia="Times New Roman" w:cstheme="minorHAnsi"/>
          <w:szCs w:val="24"/>
          <w:lang w:eastAsia="lv-LV"/>
        </w:rPr>
        <w:t>dalībai starptautiskajās izstādēs ar individuālo stendu ārvalstīs un dalībai konferencēs, semināros ārvalstīs ar stendu, dalībai tirdzniecības misijās ārvalstīs, dalībai LIAA organizētās Latvijas augstu valsts amatpersonu vizītēs  ārvalstīs, dalībai LIAA organizētajos nacionālajos stendos, darījumu tūrisma pasākumu organizēšanai Latvijā, kā arī ražotņu un produktu atbilstības novērtēšanai.</w:t>
      </w:r>
    </w:p>
    <w:p w14:paraId="52566FDC" w14:textId="77777777" w:rsidR="00D87276" w:rsidRPr="00C15715" w:rsidRDefault="00D87276" w:rsidP="00D87276">
      <w:pPr>
        <w:pStyle w:val="Heading30"/>
      </w:pPr>
      <w:r w:rsidRPr="00C15715">
        <w:t>Pasākumi inovatīvu tehnoloģiju ieviešanas veicināšanai</w:t>
      </w:r>
    </w:p>
    <w:p w14:paraId="590E2642" w14:textId="77777777" w:rsidR="00D87276" w:rsidRPr="00C15715" w:rsidRDefault="00D87276" w:rsidP="00D87276">
      <w:pPr>
        <w:spacing w:after="0" w:line="240" w:lineRule="auto"/>
        <w:jc w:val="both"/>
        <w:rPr>
          <w:rFonts w:cstheme="minorHAnsi"/>
          <w:szCs w:val="24"/>
        </w:rPr>
      </w:pPr>
      <w:r w:rsidRPr="00C15715">
        <w:rPr>
          <w:rFonts w:cstheme="minorHAnsi"/>
          <w:szCs w:val="24"/>
        </w:rPr>
        <w:t xml:space="preserve">Tīro tehnoloģiju sektora attīstība ir tiešā veidā saistīta ar P&amp;I kapacitāti – </w:t>
      </w:r>
      <w:proofErr w:type="spellStart"/>
      <w:r w:rsidRPr="00C15715">
        <w:rPr>
          <w:rFonts w:cstheme="minorHAnsi"/>
          <w:szCs w:val="24"/>
        </w:rPr>
        <w:t>cilvēkkapitālu</w:t>
      </w:r>
      <w:proofErr w:type="spellEnd"/>
      <w:r w:rsidRPr="00C15715">
        <w:rPr>
          <w:rFonts w:cstheme="minorHAnsi"/>
          <w:szCs w:val="24"/>
        </w:rPr>
        <w:t xml:space="preserve"> un publiskā un privātā sektora ieguldījumiem P&amp;I. </w:t>
      </w:r>
    </w:p>
    <w:p w14:paraId="0EDE9BEE" w14:textId="6B4FFAB8" w:rsidR="00D87276" w:rsidRPr="00C15715" w:rsidRDefault="00D87276" w:rsidP="00D87276">
      <w:pPr>
        <w:spacing w:before="120" w:after="120" w:line="240" w:lineRule="auto"/>
        <w:jc w:val="both"/>
        <w:rPr>
          <w:rFonts w:cstheme="minorHAnsi"/>
          <w:szCs w:val="24"/>
        </w:rPr>
      </w:pPr>
      <w:r w:rsidRPr="00C15715">
        <w:rPr>
          <w:rFonts w:cstheme="minorHAnsi"/>
          <w:szCs w:val="24"/>
        </w:rPr>
        <w:t xml:space="preserve">Nozīmīgākie ES struktūrfondu finansētie pasākumi, kuri </w:t>
      </w:r>
      <w:r w:rsidR="00520BCF">
        <w:rPr>
          <w:rFonts w:cstheme="minorHAnsi"/>
          <w:szCs w:val="24"/>
        </w:rPr>
        <w:t>ir</w:t>
      </w:r>
      <w:r w:rsidRPr="00C15715">
        <w:rPr>
          <w:rFonts w:cstheme="minorHAnsi"/>
          <w:szCs w:val="24"/>
        </w:rPr>
        <w:t xml:space="preserve"> mērķēti uz jaunu tehnoloģiju un inovācijas attīstīšanu, zināšanu un tehnoloģiju pārnesi, pētniecības rezultātu </w:t>
      </w:r>
      <w:proofErr w:type="spellStart"/>
      <w:r w:rsidRPr="00C15715">
        <w:rPr>
          <w:rFonts w:cstheme="minorHAnsi"/>
          <w:szCs w:val="24"/>
        </w:rPr>
        <w:t>komercializāciju</w:t>
      </w:r>
      <w:proofErr w:type="spellEnd"/>
      <w:r w:rsidRPr="00C15715">
        <w:rPr>
          <w:rFonts w:cstheme="minorHAnsi"/>
          <w:szCs w:val="24"/>
        </w:rPr>
        <w:t xml:space="preserve">, augstākas pievienotās vērtības produktu un pakalpojumu radīšanu un uzņēmumu konkurētspēju un eksportspēju konkurētspējas uzlabošanu, </w:t>
      </w:r>
      <w:r w:rsidR="00520BCF">
        <w:rPr>
          <w:rFonts w:cstheme="minorHAnsi"/>
          <w:szCs w:val="24"/>
        </w:rPr>
        <w:t xml:space="preserve">cita starpā arī </w:t>
      </w:r>
      <w:r w:rsidRPr="00C15715">
        <w:rPr>
          <w:rFonts w:cstheme="minorHAnsi"/>
          <w:szCs w:val="24"/>
        </w:rPr>
        <w:t xml:space="preserve">energoefektivitātes un dekarbonizācijas jomās ir: </w:t>
      </w:r>
      <w:r w:rsidRPr="00C15715">
        <w:rPr>
          <w:rFonts w:cstheme="minorHAnsi"/>
          <w:i/>
          <w:szCs w:val="24"/>
        </w:rPr>
        <w:t xml:space="preserve">kompetences centri, tehnoloģiju </w:t>
      </w:r>
      <w:proofErr w:type="spellStart"/>
      <w:r w:rsidRPr="00C15715">
        <w:rPr>
          <w:rFonts w:cstheme="minorHAnsi"/>
          <w:i/>
          <w:szCs w:val="24"/>
        </w:rPr>
        <w:t>pārneses</w:t>
      </w:r>
      <w:proofErr w:type="spellEnd"/>
      <w:r w:rsidRPr="00C15715">
        <w:rPr>
          <w:rFonts w:cstheme="minorHAnsi"/>
          <w:i/>
          <w:szCs w:val="24"/>
        </w:rPr>
        <w:t xml:space="preserve"> programma un klasteru programma</w:t>
      </w:r>
      <w:r w:rsidRPr="00C15715">
        <w:rPr>
          <w:rFonts w:cstheme="minorHAnsi"/>
          <w:szCs w:val="24"/>
        </w:rPr>
        <w:t>.</w:t>
      </w:r>
    </w:p>
    <w:p w14:paraId="0D10A6CC" w14:textId="77777777" w:rsidR="00D87276" w:rsidRPr="00C15715" w:rsidRDefault="00D87276" w:rsidP="00D87276">
      <w:pPr>
        <w:spacing w:before="120" w:after="120" w:line="240" w:lineRule="auto"/>
        <w:jc w:val="both"/>
        <w:rPr>
          <w:rFonts w:cstheme="minorHAnsi"/>
          <w:szCs w:val="24"/>
        </w:rPr>
      </w:pPr>
      <w:r w:rsidRPr="00C15715">
        <w:rPr>
          <w:rFonts w:cstheme="minorHAnsi"/>
          <w:i/>
          <w:szCs w:val="24"/>
        </w:rPr>
        <w:t>Kompetences centru</w:t>
      </w:r>
      <w:r w:rsidRPr="00C15715">
        <w:rPr>
          <w:rFonts w:cstheme="minorHAnsi"/>
          <w:szCs w:val="24"/>
        </w:rPr>
        <w:t xml:space="preserve"> pasākuma ietvaros darbojas 8 kompetences centri, t.sk. "Viedo </w:t>
      </w:r>
      <w:proofErr w:type="spellStart"/>
      <w:r w:rsidRPr="00C15715">
        <w:rPr>
          <w:rFonts w:cstheme="minorHAnsi"/>
          <w:szCs w:val="24"/>
        </w:rPr>
        <w:t>inženiersistēmu</w:t>
      </w:r>
      <w:proofErr w:type="spellEnd"/>
      <w:r w:rsidRPr="00C15715">
        <w:rPr>
          <w:rFonts w:cstheme="minorHAnsi"/>
          <w:szCs w:val="24"/>
        </w:rPr>
        <w:t>, transporta un enerģētikas Kompetences centrs"</w:t>
      </w:r>
      <w:r w:rsidRPr="00C15715">
        <w:rPr>
          <w:rStyle w:val="FootnoteReference"/>
          <w:rFonts w:cstheme="minorHAnsi"/>
          <w:szCs w:val="24"/>
        </w:rPr>
        <w:footnoteReference w:id="63"/>
      </w:r>
      <w:r w:rsidRPr="00C15715">
        <w:rPr>
          <w:rFonts w:cstheme="minorHAnsi"/>
          <w:szCs w:val="24"/>
        </w:rPr>
        <w:t>, kuri nodrošina atbalstu eksperimentāliem un rūpnieciskiem pētījumiem. Uz 2018. gada 31. decembri visos kompetences centros kopumā uzsākta 191 projektu īstenošana. Līdz 2018. gada 31. decembrim pabeigti  174 pētījumi, kuru rezultātā radītie produkti ieviesti ražošanā vai tiek plānota tuvākajā laikā. Atbalstu saņēmuši 149 saimnieciskās darbības veicēji, lai ieviestu jaunus produktus un tehnoloģijas.</w:t>
      </w:r>
    </w:p>
    <w:p w14:paraId="52DB8F77" w14:textId="77777777" w:rsidR="00D87276" w:rsidRPr="00C15715" w:rsidRDefault="00D87276" w:rsidP="00D87276">
      <w:pPr>
        <w:spacing w:before="120" w:after="120" w:line="240" w:lineRule="auto"/>
        <w:jc w:val="both"/>
        <w:rPr>
          <w:rFonts w:cstheme="minorHAnsi"/>
          <w:szCs w:val="24"/>
        </w:rPr>
      </w:pPr>
      <w:r w:rsidRPr="00C15715">
        <w:rPr>
          <w:rFonts w:cstheme="minorHAnsi"/>
          <w:i/>
          <w:szCs w:val="24"/>
        </w:rPr>
        <w:t xml:space="preserve">Tehnoloģiju </w:t>
      </w:r>
      <w:proofErr w:type="spellStart"/>
      <w:r w:rsidRPr="00C15715">
        <w:rPr>
          <w:rFonts w:cstheme="minorHAnsi"/>
          <w:i/>
          <w:szCs w:val="24"/>
        </w:rPr>
        <w:t>pārneses</w:t>
      </w:r>
      <w:proofErr w:type="spellEnd"/>
      <w:r w:rsidRPr="00C15715">
        <w:rPr>
          <w:rFonts w:cstheme="minorHAnsi"/>
          <w:i/>
          <w:szCs w:val="24"/>
        </w:rPr>
        <w:t xml:space="preserve"> programmas</w:t>
      </w:r>
      <w:r w:rsidRPr="00C15715">
        <w:rPr>
          <w:rFonts w:cstheme="minorHAnsi"/>
          <w:szCs w:val="24"/>
        </w:rPr>
        <w:t xml:space="preserve"> mērķis ir veicināt zināšanu un tehnoloģiju pārnesi un pētniecības rezultātu </w:t>
      </w:r>
      <w:proofErr w:type="spellStart"/>
      <w:r w:rsidRPr="00C15715">
        <w:rPr>
          <w:rFonts w:cstheme="minorHAnsi"/>
          <w:szCs w:val="24"/>
        </w:rPr>
        <w:t>komercializāciju</w:t>
      </w:r>
      <w:proofErr w:type="spellEnd"/>
      <w:r w:rsidRPr="00C15715">
        <w:rPr>
          <w:rFonts w:cstheme="minorHAnsi"/>
          <w:szCs w:val="24"/>
        </w:rPr>
        <w:t xml:space="preserve">. Programmas ietvaros līdz 2018.gada nogalei apstiprināts 41 projekts tehniski ekonomiskās </w:t>
      </w:r>
      <w:proofErr w:type="spellStart"/>
      <w:r w:rsidRPr="00C15715">
        <w:rPr>
          <w:rFonts w:cstheme="minorHAnsi"/>
          <w:szCs w:val="24"/>
        </w:rPr>
        <w:t>priekšizpētes</w:t>
      </w:r>
      <w:proofErr w:type="spellEnd"/>
      <w:r w:rsidRPr="00C15715">
        <w:rPr>
          <w:rFonts w:cstheme="minorHAnsi"/>
          <w:szCs w:val="24"/>
        </w:rPr>
        <w:t xml:space="preserve"> un </w:t>
      </w:r>
      <w:proofErr w:type="spellStart"/>
      <w:r w:rsidRPr="00C15715">
        <w:rPr>
          <w:rFonts w:cstheme="minorHAnsi"/>
          <w:szCs w:val="24"/>
        </w:rPr>
        <w:t>komercializācijas</w:t>
      </w:r>
      <w:proofErr w:type="spellEnd"/>
      <w:r w:rsidRPr="00C15715">
        <w:rPr>
          <w:rFonts w:cstheme="minorHAnsi"/>
          <w:szCs w:val="24"/>
        </w:rPr>
        <w:t xml:space="preserve"> stratēģijas izstrādei, no kuriem 24 projekti atbalstīti pētniecības rezultātu </w:t>
      </w:r>
      <w:proofErr w:type="spellStart"/>
      <w:r w:rsidRPr="00C15715">
        <w:rPr>
          <w:rFonts w:cstheme="minorHAnsi"/>
          <w:szCs w:val="24"/>
        </w:rPr>
        <w:t>komercializācijai</w:t>
      </w:r>
      <w:proofErr w:type="spellEnd"/>
      <w:r w:rsidRPr="00C15715">
        <w:rPr>
          <w:rFonts w:cstheme="minorHAnsi"/>
          <w:szCs w:val="24"/>
        </w:rPr>
        <w:t xml:space="preserve">. Paralēli ir veicināta pētniecības organizāciju sadarbība ar komersantiem, procesā piesaistot Tehnoloģiju skautu nodaļu. Tehnoloģiju skauti pārzina pētnieciskās organizācijas, to personālu un sniegtos pakalpojumus. Pētniecības organizācijās skauti apzina potenciāli komercializējamus pētniecības projektus un palīdz tos attīstīt. Šobrīd LIAA darbojas 7 tehnoloģiju skauti: pa vienam Latvijas Universitātē un Rīgas Tehniskajā universitātē un pieci skauti sekojošās </w:t>
      </w:r>
      <w:r w:rsidRPr="00C15715">
        <w:rPr>
          <w:rFonts w:cstheme="minorHAnsi"/>
          <w:szCs w:val="24"/>
        </w:rPr>
        <w:lastRenderedPageBreak/>
        <w:t xml:space="preserve">nozarēs: </w:t>
      </w:r>
      <w:proofErr w:type="spellStart"/>
      <w:r w:rsidRPr="00C15715">
        <w:rPr>
          <w:rFonts w:cstheme="minorHAnsi"/>
          <w:szCs w:val="24"/>
        </w:rPr>
        <w:t>bioekonomika</w:t>
      </w:r>
      <w:proofErr w:type="spellEnd"/>
      <w:r w:rsidRPr="00C15715">
        <w:rPr>
          <w:rFonts w:cstheme="minorHAnsi"/>
          <w:szCs w:val="24"/>
        </w:rPr>
        <w:t xml:space="preserve">, </w:t>
      </w:r>
      <w:proofErr w:type="spellStart"/>
      <w:r w:rsidRPr="00C15715">
        <w:rPr>
          <w:rFonts w:cstheme="minorHAnsi"/>
          <w:szCs w:val="24"/>
        </w:rPr>
        <w:t>biomedicīna</w:t>
      </w:r>
      <w:proofErr w:type="spellEnd"/>
      <w:r w:rsidRPr="00C15715">
        <w:rPr>
          <w:rFonts w:cstheme="minorHAnsi"/>
          <w:szCs w:val="24"/>
        </w:rPr>
        <w:t xml:space="preserve">, viedie materiāli, informācijas un komunikāciju tehnoloģijas un viedā enerģētika. </w:t>
      </w:r>
    </w:p>
    <w:p w14:paraId="4C1B9A47" w14:textId="77777777" w:rsidR="00D87276" w:rsidRPr="00C15715" w:rsidRDefault="00D87276" w:rsidP="00D87276">
      <w:pPr>
        <w:spacing w:before="120" w:after="120" w:line="240" w:lineRule="auto"/>
        <w:jc w:val="both"/>
        <w:rPr>
          <w:rFonts w:cstheme="minorHAnsi"/>
          <w:szCs w:val="24"/>
        </w:rPr>
      </w:pPr>
      <w:r w:rsidRPr="00C15715">
        <w:rPr>
          <w:rFonts w:cstheme="minorHAnsi"/>
          <w:i/>
          <w:szCs w:val="24"/>
        </w:rPr>
        <w:t>Klasteru programma</w:t>
      </w:r>
      <w:r w:rsidRPr="00C15715">
        <w:rPr>
          <w:rFonts w:cstheme="minorHAnsi"/>
          <w:szCs w:val="24"/>
        </w:rPr>
        <w:t xml:space="preserve"> tiek īstenota ar mērķi veicināt sadarbību starp komersantiem un pētniecības, izglītības, pašvaldības un citām institūcijām, kas darbojas savstarpēji saistītās nozarēs, tautsaimniecības nišā, produkta vai pakalpojuma grupā vai vērtības ķēdē, vai reģionā vietējā un starptautiskā līmenī, lai uzlabotu komersantu kapacitāti augstas pievienotās vērtības produktu un pakalpojumu radīšanā un veicinātu to eksportspēju. Programmas ietvaros atbalstu saņem 14 klasteri, no kuriem 2 tiešā veidā darbojas tīro tehnoloģiju jomā (</w:t>
      </w:r>
      <w:proofErr w:type="spellStart"/>
      <w:r w:rsidRPr="00C15715">
        <w:rPr>
          <w:rFonts w:cstheme="minorHAnsi"/>
          <w:szCs w:val="24"/>
        </w:rPr>
        <w:t>Cleantech</w:t>
      </w:r>
      <w:proofErr w:type="spellEnd"/>
      <w:r w:rsidRPr="00C15715">
        <w:rPr>
          <w:rFonts w:cstheme="minorHAnsi"/>
          <w:szCs w:val="24"/>
        </w:rPr>
        <w:t xml:space="preserve"> un Zaļo un tīro tehnoloģiju klasteris).</w:t>
      </w:r>
    </w:p>
    <w:p w14:paraId="59FA6BA9" w14:textId="77777777" w:rsidR="00D87276" w:rsidRPr="00C15715" w:rsidRDefault="00D87276" w:rsidP="00D87276">
      <w:pPr>
        <w:pStyle w:val="naiskr"/>
        <w:spacing w:before="120" w:after="120"/>
        <w:jc w:val="both"/>
        <w:rPr>
          <w:rFonts w:asciiTheme="minorHAnsi" w:hAnsiTheme="minorHAnsi" w:cstheme="minorHAnsi"/>
        </w:rPr>
      </w:pPr>
      <w:r w:rsidRPr="00C15715">
        <w:rPr>
          <w:rFonts w:asciiTheme="minorHAnsi" w:hAnsiTheme="minorHAnsi" w:cstheme="minorHAnsi"/>
        </w:rPr>
        <w:t xml:space="preserve">EKII ietvaros līdz 2018. gada beigām piešķirti 36 inovatīvu energoefektivitātes un AER viedo tehnoloģiju izmantošanas demonstrācijas projektu finansēšanai (tabula), kas sniedz gan tiešus SEG emisiju samazinājumus, gan arī netiešos SEG emisiju samazinājumus, kas rodas no projektu demonstrācijas un </w:t>
      </w:r>
      <w:proofErr w:type="spellStart"/>
      <w:r w:rsidRPr="00C15715">
        <w:rPr>
          <w:rFonts w:asciiTheme="minorHAnsi" w:hAnsiTheme="minorHAnsi" w:cstheme="minorHAnsi"/>
        </w:rPr>
        <w:t>multiplikatīvā</w:t>
      </w:r>
      <w:proofErr w:type="spellEnd"/>
      <w:r w:rsidRPr="00C15715">
        <w:rPr>
          <w:rFonts w:asciiTheme="minorHAnsi" w:hAnsiTheme="minorHAnsi" w:cstheme="minorHAnsi"/>
        </w:rPr>
        <w:t xml:space="preserve"> efekta. Netiešie SEG emisiju samazinājumi ir ļoti nozīmīgi, jo klimata politikas mērķu sasniegšanai nepieciešamas pakāpeniskas, visaptverošas un būtiskas izmaiņas tautsaimniecībā un iedzīvotāju dzīvesveidā. </w:t>
      </w:r>
      <w:r w:rsidRPr="00C15715">
        <w:rPr>
          <w:rFonts w:asciiTheme="minorHAnsi" w:hAnsiTheme="minorHAnsi" w:cstheme="minorHAnsi"/>
          <w:iCs/>
        </w:rPr>
        <w:t xml:space="preserve">Demonstrācijas projekti, piem.,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w:t>
      </w:r>
      <w:proofErr w:type="spellStart"/>
      <w:r w:rsidRPr="00C15715">
        <w:rPr>
          <w:rFonts w:asciiTheme="minorHAnsi" w:hAnsiTheme="minorHAnsi" w:cstheme="minorHAnsi"/>
          <w:iCs/>
        </w:rPr>
        <w:t>multiplikatīvais</w:t>
      </w:r>
      <w:proofErr w:type="spellEnd"/>
      <w:r w:rsidRPr="00C15715">
        <w:rPr>
          <w:rFonts w:asciiTheme="minorHAnsi" w:hAnsiTheme="minorHAnsi" w:cstheme="minorHAnsi"/>
          <w:iCs/>
        </w:rPr>
        <w:t xml:space="preserve"> efekts uz turpmāko SEG emisiju samazināšanu ēku sektorā.</w:t>
      </w:r>
    </w:p>
    <w:p w14:paraId="77011260" w14:textId="77777777" w:rsidR="00D87276" w:rsidRPr="00C15715" w:rsidRDefault="00D87276" w:rsidP="00D87276">
      <w:pPr>
        <w:pStyle w:val="Standard"/>
        <w:jc w:val="both"/>
        <w:rPr>
          <w:rFonts w:asciiTheme="minorHAnsi" w:hAnsiTheme="minorHAnsi" w:cstheme="minorHAnsi"/>
        </w:rPr>
      </w:pPr>
      <w:r w:rsidRPr="00C15715">
        <w:rPr>
          <w:rFonts w:asciiTheme="minorHAnsi" w:hAnsiTheme="minorHAnsi" w:cstheme="minorHAnsi"/>
        </w:rPr>
        <w:t xml:space="preserve">Atkritumu nozarē 2014.-2020. gada plānošanas periodā ir plānots finansējums bioloģiski noārdāmo atkritumu pārstrādei, izmantojot anaerobu tehnoloģiju biogāzes iegūšanai, tādejādi nodrošinot arī metāna atgūšanu un lietderīgu izmantošanu. Savukārt iekšējā enerģijas tirgus attīstībai iekšējās </w:t>
      </w:r>
      <w:proofErr w:type="spellStart"/>
      <w:r w:rsidRPr="00C15715">
        <w:rPr>
          <w:rFonts w:asciiTheme="minorHAnsi" w:hAnsiTheme="minorHAnsi" w:cstheme="minorHAnsi"/>
        </w:rPr>
        <w:t>energodrošības</w:t>
      </w:r>
      <w:proofErr w:type="spellEnd"/>
      <w:r w:rsidRPr="00C15715">
        <w:rPr>
          <w:rFonts w:asciiTheme="minorHAnsi" w:hAnsiTheme="minorHAnsi" w:cstheme="minorHAnsi"/>
        </w:rPr>
        <w:t xml:space="preserve"> pastiprināšanai, kā arī primāro fosilo energoresursu izmatošanas samazināšanai tiks īstenoti projekti atkritumu reģenerācijai ar enerģijas atguvi infrastruktūras būvniecībai.</w:t>
      </w:r>
    </w:p>
    <w:p w14:paraId="7F2AE0DC" w14:textId="77777777" w:rsidR="00D87276" w:rsidRPr="00C15715" w:rsidRDefault="00D87276" w:rsidP="00D87276">
      <w:pPr>
        <w:pStyle w:val="Heading30"/>
      </w:pPr>
      <w:r w:rsidRPr="00C15715">
        <w:t xml:space="preserve">Pašreizējā izdevumu situācija </w:t>
      </w:r>
    </w:p>
    <w:p w14:paraId="2B015F05" w14:textId="77777777" w:rsidR="00D87276" w:rsidRPr="00C15715" w:rsidRDefault="00D87276" w:rsidP="00D87276">
      <w:pPr>
        <w:pStyle w:val="Standard"/>
        <w:spacing w:before="120" w:after="120"/>
        <w:jc w:val="both"/>
        <w:rPr>
          <w:rFonts w:asciiTheme="minorHAnsi" w:hAnsiTheme="minorHAnsi" w:cstheme="minorHAnsi"/>
        </w:rPr>
      </w:pPr>
      <w:r w:rsidRPr="00C15715">
        <w:rPr>
          <w:rFonts w:asciiTheme="minorHAnsi" w:hAnsiTheme="minorHAnsi" w:cstheme="minorHAnsi"/>
        </w:rPr>
        <w:t>Latvijas P&amp;I sistēmas attīstību būtiski kavējis ilgstoši zemais finansējums pētniecībā - LNRP2020</w:t>
      </w:r>
      <w:r w:rsidRPr="00C15715">
        <w:rPr>
          <w:rFonts w:asciiTheme="minorHAnsi" w:hAnsiTheme="minorHAnsi" w:cstheme="minorHAnsi"/>
          <w:vertAlign w:val="superscript"/>
        </w:rPr>
        <w:footnoteReference w:id="64"/>
      </w:r>
      <w:r w:rsidRPr="00C15715">
        <w:rPr>
          <w:rFonts w:asciiTheme="minorHAnsi" w:hAnsiTheme="minorHAnsi" w:cstheme="minorHAnsi"/>
        </w:rPr>
        <w:t xml:space="preserve"> mērķa rādītājs ieguldījumiem P&amp;A 2020.gadam ir noteikts 1,5% apmērā no IKP, taču pēdējo 5 gadu laikā ieguldījumi P&amp;A nav pārsnieguši 0,7% no IKP, kas ir būtisks šķērslis P&amp;I attīstīšanai jebkurā no tautsaimniecības nozarēm.</w:t>
      </w:r>
    </w:p>
    <w:p w14:paraId="6EA70979" w14:textId="3F0B0CA7" w:rsidR="00D87276" w:rsidRPr="00C15715" w:rsidRDefault="00662B99" w:rsidP="00D87276">
      <w:pPr>
        <w:pStyle w:val="Standard"/>
        <w:jc w:val="center"/>
        <w:rPr>
          <w:rFonts w:asciiTheme="minorHAnsi" w:eastAsia="Times New Roman" w:hAnsiTheme="minorHAnsi" w:cstheme="minorHAnsi"/>
        </w:rPr>
      </w:pPr>
      <w:r>
        <w:rPr>
          <w:rFonts w:asciiTheme="minorHAnsi" w:eastAsia="Times New Roman" w:hAnsiTheme="minorHAnsi" w:cstheme="minorHAnsi"/>
          <w:noProof/>
        </w:rPr>
        <w:lastRenderedPageBreak/>
        <w:drawing>
          <wp:inline distT="0" distB="0" distL="0" distR="0" wp14:anchorId="11B3EECF" wp14:editId="6ED387BB">
            <wp:extent cx="4130993" cy="247062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7532" cy="2486501"/>
                    </a:xfrm>
                    <a:prstGeom prst="rect">
                      <a:avLst/>
                    </a:prstGeom>
                    <a:noFill/>
                  </pic:spPr>
                </pic:pic>
              </a:graphicData>
            </a:graphic>
          </wp:inline>
        </w:drawing>
      </w:r>
    </w:p>
    <w:p w14:paraId="400196B7" w14:textId="73646E16" w:rsidR="00F97BC0" w:rsidRPr="00C15715" w:rsidRDefault="00D87276" w:rsidP="002930BD">
      <w:pPr>
        <w:pStyle w:val="Standard"/>
        <w:spacing w:before="120" w:after="120"/>
        <w:jc w:val="center"/>
        <w:rPr>
          <w:rFonts w:cstheme="minorHAnsi"/>
        </w:rPr>
      </w:pPr>
      <w:r w:rsidRPr="00C15715">
        <w:rPr>
          <w:rFonts w:asciiTheme="minorHAnsi" w:eastAsiaTheme="majorEastAsia" w:hAnsiTheme="minorHAnsi" w:cstheme="minorHAnsi"/>
          <w:b/>
          <w:bCs/>
          <w:sz w:val="20"/>
          <w:szCs w:val="20"/>
        </w:rPr>
        <w:fldChar w:fldCharType="begin"/>
      </w:r>
      <w:r w:rsidRPr="00C15715">
        <w:rPr>
          <w:rFonts w:asciiTheme="minorHAnsi" w:eastAsiaTheme="majorEastAsia" w:hAnsiTheme="minorHAnsi" w:cstheme="minorHAnsi"/>
          <w:b/>
          <w:bCs/>
          <w:sz w:val="20"/>
          <w:szCs w:val="20"/>
        </w:rPr>
        <w:instrText xml:space="preserve"> SEQ Ilustrācija \* ARABIC </w:instrText>
      </w:r>
      <w:r w:rsidRPr="00C15715">
        <w:rPr>
          <w:rFonts w:asciiTheme="minorHAnsi" w:eastAsiaTheme="majorEastAsia" w:hAnsiTheme="minorHAnsi" w:cstheme="minorHAnsi"/>
          <w:b/>
          <w:bCs/>
          <w:sz w:val="20"/>
          <w:szCs w:val="20"/>
        </w:rPr>
        <w:fldChar w:fldCharType="separate"/>
      </w:r>
      <w:r w:rsidR="001121B4">
        <w:rPr>
          <w:rFonts w:asciiTheme="minorHAnsi" w:eastAsiaTheme="majorEastAsia" w:hAnsiTheme="minorHAnsi" w:cstheme="minorHAnsi"/>
          <w:b/>
          <w:bCs/>
          <w:noProof/>
          <w:sz w:val="20"/>
          <w:szCs w:val="20"/>
        </w:rPr>
        <w:t>29</w:t>
      </w:r>
      <w:r w:rsidRPr="00C15715">
        <w:rPr>
          <w:rFonts w:asciiTheme="minorHAnsi" w:eastAsiaTheme="majorEastAsia" w:hAnsiTheme="minorHAnsi" w:cstheme="minorHAnsi"/>
          <w:b/>
          <w:bCs/>
          <w:sz w:val="20"/>
          <w:szCs w:val="20"/>
        </w:rPr>
        <w:fldChar w:fldCharType="end"/>
      </w:r>
      <w:r w:rsidRPr="00C15715">
        <w:rPr>
          <w:rFonts w:asciiTheme="minorHAnsi" w:eastAsiaTheme="majorEastAsia" w:hAnsiTheme="minorHAnsi" w:cstheme="minorHAnsi"/>
          <w:b/>
          <w:bCs/>
          <w:sz w:val="20"/>
          <w:szCs w:val="20"/>
        </w:rPr>
        <w:t>.attēls.</w:t>
      </w:r>
      <w:r w:rsidRPr="00C15715">
        <w:rPr>
          <w:rFonts w:asciiTheme="minorHAnsi" w:hAnsiTheme="minorHAnsi" w:cstheme="minorHAnsi"/>
          <w:b/>
          <w:bCs/>
          <w:sz w:val="20"/>
          <w:szCs w:val="20"/>
        </w:rPr>
        <w:t xml:space="preserve"> </w:t>
      </w:r>
      <w:r w:rsidRPr="00C15715">
        <w:rPr>
          <w:rFonts w:asciiTheme="minorHAnsi" w:eastAsia="Times New Roman" w:hAnsiTheme="minorHAnsi" w:cstheme="minorHAnsi"/>
          <w:b/>
          <w:bCs/>
          <w:sz w:val="20"/>
          <w:szCs w:val="20"/>
        </w:rPr>
        <w:t>Publiskā un privātā sektora ieguldījumi tīrās enerģijas tehnoloģiju P&amp;I Latvijā salīdzinājumā ar ES kopējiem ieguldījumiem</w:t>
      </w:r>
      <w:bookmarkStart w:id="22" w:name="_GoBack"/>
      <w:bookmarkEnd w:id="22"/>
    </w:p>
    <w:sectPr w:rsidR="00F97BC0" w:rsidRPr="00C15715" w:rsidSect="00F97BC0">
      <w:headerReference w:type="default" r:id="rId42"/>
      <w:headerReference w:type="first" r:id="rId43"/>
      <w:footerReference w:type="first" r:id="rId44"/>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4EB37" w14:textId="77777777" w:rsidR="00290DBF" w:rsidRDefault="00290DBF" w:rsidP="00D87276">
      <w:pPr>
        <w:spacing w:after="0" w:line="240" w:lineRule="auto"/>
      </w:pPr>
      <w:r>
        <w:separator/>
      </w:r>
    </w:p>
  </w:endnote>
  <w:endnote w:type="continuationSeparator" w:id="0">
    <w:p w14:paraId="3DDB599F" w14:textId="77777777" w:rsidR="00290DBF" w:rsidRDefault="00290DBF" w:rsidP="00D87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EC Square Sans Pro">
    <w:altName w:val="Calibri"/>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7AC81" w14:textId="77777777" w:rsidR="00290DBF" w:rsidRPr="00C25547" w:rsidRDefault="00290DBF">
    <w:pPr>
      <w:pStyle w:val="Footer"/>
      <w:rPr>
        <w:rFonts w:ascii="Times New Roman" w:hAnsi="Times New Roman" w:cs="Times New Roman"/>
        <w:sz w:val="20"/>
        <w:szCs w:val="20"/>
      </w:rPr>
    </w:pPr>
    <w:r w:rsidRPr="00C25547">
      <w:rPr>
        <w:rFonts w:ascii="Times New Roman" w:hAnsi="Times New Roman" w:cs="Times New Roman"/>
        <w:sz w:val="20"/>
        <w:szCs w:val="20"/>
      </w:rPr>
      <w:fldChar w:fldCharType="begin"/>
    </w:r>
    <w:r w:rsidRPr="00C25547">
      <w:rPr>
        <w:rFonts w:ascii="Times New Roman" w:hAnsi="Times New Roman" w:cs="Times New Roman"/>
        <w:sz w:val="20"/>
        <w:szCs w:val="20"/>
      </w:rPr>
      <w:instrText xml:space="preserve"> FILENAME   \* MERGEFORMAT </w:instrText>
    </w:r>
    <w:r w:rsidRPr="00C25547">
      <w:rPr>
        <w:rFonts w:ascii="Times New Roman" w:hAnsi="Times New Roman" w:cs="Times New Roman"/>
        <w:sz w:val="20"/>
        <w:szCs w:val="20"/>
      </w:rPr>
      <w:fldChar w:fldCharType="separate"/>
    </w:r>
    <w:r>
      <w:rPr>
        <w:rFonts w:ascii="Times New Roman" w:hAnsi="Times New Roman" w:cs="Times New Roman"/>
        <w:noProof/>
        <w:sz w:val="20"/>
        <w:szCs w:val="20"/>
      </w:rPr>
      <w:t>EMPl_270819_NEKP2021-2030.docx</w:t>
    </w:r>
    <w:r w:rsidRPr="00C25547">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AEF35" w14:textId="77777777" w:rsidR="00290DBF" w:rsidRDefault="00290DBF" w:rsidP="00D87276">
      <w:pPr>
        <w:spacing w:after="0" w:line="240" w:lineRule="auto"/>
      </w:pPr>
      <w:r>
        <w:separator/>
      </w:r>
    </w:p>
  </w:footnote>
  <w:footnote w:type="continuationSeparator" w:id="0">
    <w:p w14:paraId="0C2D405C" w14:textId="77777777" w:rsidR="00290DBF" w:rsidRDefault="00290DBF" w:rsidP="00D87276">
      <w:pPr>
        <w:spacing w:after="0" w:line="240" w:lineRule="auto"/>
      </w:pPr>
      <w:r>
        <w:continuationSeparator/>
      </w:r>
    </w:p>
  </w:footnote>
  <w:footnote w:id="1">
    <w:p w14:paraId="1591735B" w14:textId="134176AA" w:rsidR="00290DBF" w:rsidRPr="00BC501D" w:rsidRDefault="00290DBF">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CSP</w:t>
      </w:r>
    </w:p>
  </w:footnote>
  <w:footnote w:id="2">
    <w:p w14:paraId="114D1BE1" w14:textId="7E5A653C" w:rsidR="00290DBF" w:rsidRPr="00BC501D" w:rsidRDefault="00290DBF">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EM</w:t>
      </w:r>
    </w:p>
  </w:footnote>
  <w:footnote w:id="3">
    <w:p w14:paraId="5EF84C12" w14:textId="77777777" w:rsidR="00290DBF" w:rsidRPr="00BC501D" w:rsidRDefault="00290DBF" w:rsidP="00934EE9">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EM, CSP, FEI</w:t>
      </w:r>
    </w:p>
  </w:footnote>
  <w:footnote w:id="4">
    <w:p w14:paraId="3AB8F40D" w14:textId="05D886D2" w:rsidR="00290DBF" w:rsidRPr="00BC501D" w:rsidRDefault="00290DBF" w:rsidP="00CA0A68">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2018.gada dati ir aptuvenās SEG inventarizācijas dati, kuri ir aprēķināti, ņemot vērā sākotnējos statistikas datus, un kurus nav pārbaudījuši vai apstiprinājuši EK un UNFCCC Sekretariāta eksperti. Šajā nodaļā 2018.gada aptuvenās SEG inventarizācijas par 2018.gadu dati ir iekļauti aptuvenai 2018.gada situācijas raksturojumam</w:t>
      </w:r>
    </w:p>
  </w:footnote>
  <w:footnote w:id="5">
    <w:p w14:paraId="5A85A6C3"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hyperlink r:id="rId1" w:history="1">
        <w:r w:rsidRPr="00BC501D">
          <w:rPr>
            <w:rStyle w:val="Hyperlink"/>
            <w:rFonts w:asciiTheme="minorHAnsi" w:hAnsiTheme="minorHAnsi" w:cstheme="minorHAnsi"/>
          </w:rPr>
          <w:t>http://cdr.eionet.europa.eu/lv/eu/mmr/art07_inventory/ghg_inventory/envxk8pma/</w:t>
        </w:r>
      </w:hyperlink>
      <w:r w:rsidRPr="00BC501D">
        <w:rPr>
          <w:rFonts w:asciiTheme="minorHAnsi" w:hAnsiTheme="minorHAnsi" w:cstheme="minorHAnsi"/>
        </w:rPr>
        <w:t xml:space="preserve"> </w:t>
      </w:r>
    </w:p>
  </w:footnote>
  <w:footnote w:id="6">
    <w:p w14:paraId="545B6506"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hyperlink r:id="rId2" w:history="1">
        <w:r w:rsidRPr="00BC501D">
          <w:rPr>
            <w:rStyle w:val="Hyperlink"/>
            <w:rFonts w:asciiTheme="minorHAnsi" w:hAnsiTheme="minorHAnsi" w:cstheme="minorHAnsi"/>
          </w:rPr>
          <w:t>https://cdr.eionet.europa.eu/lv/eu/mmr/art08_proxy/envxta4zg</w:t>
        </w:r>
      </w:hyperlink>
    </w:p>
  </w:footnote>
  <w:footnote w:id="7">
    <w:p w14:paraId="6C694211"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rPr>
        <w:t>Datu avots: CSP</w:t>
      </w:r>
    </w:p>
  </w:footnote>
  <w:footnote w:id="8">
    <w:p w14:paraId="1D1872F9"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Datu avots: CSP</w:t>
      </w:r>
    </w:p>
  </w:footnote>
  <w:footnote w:id="9">
    <w:p w14:paraId="4DFF8A68"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Datu avots: CSP</w:t>
      </w:r>
    </w:p>
  </w:footnote>
  <w:footnote w:id="10">
    <w:p w14:paraId="5F6D8A5A"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rPr>
        <w:t>Datu avots: CSP, EUROSTAT</w:t>
      </w:r>
    </w:p>
  </w:footnote>
  <w:footnote w:id="11">
    <w:p w14:paraId="08617EFB"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hyperlink r:id="rId3" w:history="1">
        <w:r w:rsidRPr="00BC501D">
          <w:rPr>
            <w:rStyle w:val="Hyperlink"/>
            <w:rFonts w:asciiTheme="minorHAnsi" w:hAnsiTheme="minorHAnsi" w:cstheme="minorHAnsi"/>
          </w:rPr>
          <w:t>https://ec.europa.eu/energy/sites/ener/files/documents/dir_2009_0028_action_plan_latvia.zip</w:t>
        </w:r>
      </w:hyperlink>
      <w:r w:rsidRPr="00BC501D">
        <w:rPr>
          <w:rFonts w:asciiTheme="minorHAnsi" w:hAnsiTheme="minorHAnsi" w:cstheme="minorHAnsi"/>
        </w:rPr>
        <w:t xml:space="preserve"> </w:t>
      </w:r>
    </w:p>
  </w:footnote>
  <w:footnote w:id="12">
    <w:p w14:paraId="0737E80B"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eastAsia="Calibri" w:hAnsiTheme="minorHAnsi" w:cstheme="minorHAnsi"/>
        </w:rPr>
        <w:t>Direktīva 2009/28/EK</w:t>
      </w:r>
    </w:p>
  </w:footnote>
  <w:footnote w:id="13">
    <w:p w14:paraId="06CD8FB8"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Aktuālais ziņojums par Latvijas saistību izpildi ir pieejams</w:t>
      </w:r>
    </w:p>
    <w:p w14:paraId="170F2F48" w14:textId="77777777" w:rsidR="00290DBF" w:rsidRPr="00BC501D" w:rsidRDefault="00290DBF" w:rsidP="00D87276">
      <w:pPr>
        <w:pStyle w:val="FootnoteText"/>
        <w:rPr>
          <w:rFonts w:asciiTheme="minorHAnsi" w:hAnsiTheme="minorHAnsi" w:cstheme="minorHAnsi"/>
        </w:rPr>
      </w:pPr>
      <w:hyperlink r:id="rId4" w:history="1">
        <w:r w:rsidRPr="00BC501D">
          <w:rPr>
            <w:rStyle w:val="Hyperlink"/>
            <w:rFonts w:asciiTheme="minorHAnsi" w:hAnsiTheme="minorHAnsi" w:cstheme="minorHAnsi"/>
          </w:rPr>
          <w:t>https://www.em.gov.lv/files/nozares_politika/EMZino_AER_030518.pdf</w:t>
        </w:r>
      </w:hyperlink>
      <w:r w:rsidRPr="00BC501D">
        <w:rPr>
          <w:rFonts w:asciiTheme="minorHAnsi" w:hAnsiTheme="minorHAnsi" w:cstheme="minorHAnsi"/>
        </w:rPr>
        <w:t xml:space="preserve">. </w:t>
      </w:r>
    </w:p>
  </w:footnote>
  <w:footnote w:id="14">
    <w:p w14:paraId="3C95A1CB"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CSP</w:t>
      </w:r>
    </w:p>
  </w:footnote>
  <w:footnote w:id="15">
    <w:p w14:paraId="536CAAE8"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Datu avots: CSP</w:t>
      </w:r>
    </w:p>
  </w:footnote>
  <w:footnote w:id="16">
    <w:p w14:paraId="0AE56F09"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Datu avots: CSP</w:t>
      </w:r>
    </w:p>
  </w:footnote>
  <w:footnote w:id="17">
    <w:p w14:paraId="1EE15D33"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CSP</w:t>
      </w:r>
    </w:p>
  </w:footnote>
  <w:footnote w:id="18">
    <w:p w14:paraId="71ABAB6F" w14:textId="77777777" w:rsidR="00290DBF" w:rsidRPr="00BC501D" w:rsidRDefault="00290DBF" w:rsidP="00D87276">
      <w:pPr>
        <w:autoSpaceDE w:val="0"/>
        <w:autoSpaceDN w:val="0"/>
        <w:adjustRightInd w:val="0"/>
        <w:spacing w:after="0" w:line="240" w:lineRule="auto"/>
        <w:jc w:val="both"/>
        <w:rPr>
          <w:rFonts w:eastAsia="Calibri" w:cstheme="minorHAnsi"/>
          <w:sz w:val="18"/>
          <w:szCs w:val="18"/>
          <w:lang w:eastAsia="lv-LV"/>
        </w:rPr>
      </w:pPr>
      <w:r w:rsidRPr="00BC501D">
        <w:rPr>
          <w:rStyle w:val="FootnoteReference"/>
          <w:rFonts w:cstheme="minorHAnsi"/>
          <w:sz w:val="18"/>
          <w:szCs w:val="18"/>
        </w:rPr>
        <w:footnoteRef/>
      </w:r>
      <w:r w:rsidRPr="00BC501D">
        <w:rPr>
          <w:rFonts w:cstheme="minorHAnsi"/>
          <w:sz w:val="18"/>
          <w:szCs w:val="18"/>
        </w:rPr>
        <w:t xml:space="preserve"> </w:t>
      </w:r>
      <w:hyperlink r:id="rId5" w:history="1">
        <w:r w:rsidRPr="00BC501D">
          <w:rPr>
            <w:rStyle w:val="Hyperlink"/>
            <w:rFonts w:eastAsia="Calibri" w:cstheme="minorHAnsi"/>
            <w:bCs/>
            <w:sz w:val="18"/>
            <w:szCs w:val="18"/>
            <w:lang w:eastAsia="lv-LV"/>
          </w:rPr>
          <w:t>https://ec.europa.eu/energy/sites/ener/files/documents/lv_annual_report_2019_lv.zip</w:t>
        </w:r>
      </w:hyperlink>
      <w:r w:rsidRPr="00BC501D">
        <w:rPr>
          <w:rFonts w:eastAsia="Calibri" w:cstheme="minorHAnsi"/>
          <w:bCs/>
          <w:sz w:val="18"/>
          <w:szCs w:val="18"/>
          <w:lang w:eastAsia="lv-LV"/>
        </w:rPr>
        <w:t xml:space="preserve"> </w:t>
      </w:r>
    </w:p>
  </w:footnote>
  <w:footnote w:id="19">
    <w:p w14:paraId="61DCB83C"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hyperlink r:id="rId6" w:history="1">
        <w:r w:rsidRPr="00BC501D">
          <w:rPr>
            <w:rStyle w:val="Hyperlink"/>
            <w:rFonts w:asciiTheme="minorHAnsi" w:hAnsiTheme="minorHAnsi" w:cstheme="minorHAnsi"/>
          </w:rPr>
          <w:t>https://www.em.gov.lv/lv/nozares_politika/energoefektivitate_un_siltumapgade/zinojumi_eiropas_komisijai/</w:t>
        </w:r>
      </w:hyperlink>
      <w:r w:rsidRPr="00BC501D">
        <w:rPr>
          <w:rFonts w:asciiTheme="minorHAnsi" w:hAnsiTheme="minorHAnsi" w:cstheme="minorHAnsi"/>
        </w:rPr>
        <w:t xml:space="preserve"> </w:t>
      </w:r>
    </w:p>
  </w:footnote>
  <w:footnote w:id="20">
    <w:p w14:paraId="6B94B9D3"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rPr>
        <w:t>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21">
    <w:p w14:paraId="43A9C04C"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EUROSTAT</w:t>
      </w:r>
    </w:p>
  </w:footnote>
  <w:footnote w:id="22">
    <w:p w14:paraId="62430C22"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Avots: AS “Augstsprieguma tīkls”</w:t>
      </w:r>
    </w:p>
  </w:footnote>
  <w:footnote w:id="23">
    <w:p w14:paraId="41355D1A"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N-1 ir teorētisks aprēķins, kas raksturo gāzes infrastruktūras tehnisko spēju apmierināt gāzes kopējo pieprasījumu aprēķinātajā platībā, ja rodas traucējumi vienotajā lielākajā gāzes infrastruktūrā dienā, kad ir ārkārtīgi liels gāzes pieprasījums, kas statistiski iespējams reizi 20 gados.</w:t>
      </w:r>
    </w:p>
  </w:footnote>
  <w:footnote w:id="24">
    <w:p w14:paraId="374185BD"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Saskaņā ar regulas Nr. 2017/1938 prasībām N – 1 ≥ 100 %</w:t>
      </w:r>
    </w:p>
  </w:footnote>
  <w:footnote w:id="25">
    <w:p w14:paraId="67B46E96"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Avots: a/s “</w:t>
      </w:r>
      <w:proofErr w:type="spellStart"/>
      <w:r w:rsidRPr="00BC501D">
        <w:rPr>
          <w:rFonts w:asciiTheme="minorHAnsi" w:hAnsiTheme="minorHAnsi" w:cstheme="minorHAnsi"/>
        </w:rPr>
        <w:t>Conexus</w:t>
      </w:r>
      <w:proofErr w:type="spellEnd"/>
      <w:r w:rsidRPr="00BC501D">
        <w:rPr>
          <w:rFonts w:asciiTheme="minorHAnsi" w:hAnsiTheme="minorHAnsi" w:cstheme="minorHAnsi"/>
        </w:rPr>
        <w:t xml:space="preserve"> </w:t>
      </w:r>
      <w:proofErr w:type="spellStart"/>
      <w:r w:rsidRPr="00BC501D">
        <w:rPr>
          <w:rFonts w:asciiTheme="minorHAnsi" w:hAnsiTheme="minorHAnsi" w:cstheme="minorHAnsi"/>
        </w:rPr>
        <w:t>Baltic</w:t>
      </w:r>
      <w:proofErr w:type="spellEnd"/>
      <w:r w:rsidRPr="00BC501D">
        <w:rPr>
          <w:rFonts w:asciiTheme="minorHAnsi" w:hAnsiTheme="minorHAnsi" w:cstheme="minorHAnsi"/>
        </w:rPr>
        <w:t xml:space="preserve"> Grid” (</w:t>
      </w:r>
      <w:hyperlink r:id="rId7" w:history="1">
        <w:r w:rsidRPr="00BC501D">
          <w:rPr>
            <w:rStyle w:val="Hyperlink"/>
            <w:rFonts w:asciiTheme="minorHAnsi" w:hAnsiTheme="minorHAnsi" w:cstheme="minorHAnsi"/>
          </w:rPr>
          <w:t>http://www.conexus.lv/uploads/filedir/parvades_operatora_zinojums_2018.pdf</w:t>
        </w:r>
      </w:hyperlink>
      <w:r w:rsidRPr="00BC501D">
        <w:rPr>
          <w:rFonts w:asciiTheme="minorHAnsi" w:hAnsiTheme="minorHAnsi" w:cstheme="minorHAnsi"/>
        </w:rPr>
        <w:t xml:space="preserve">) </w:t>
      </w:r>
    </w:p>
  </w:footnote>
  <w:footnote w:id="26">
    <w:p w14:paraId="08F6801E" w14:textId="188F844D" w:rsidR="00290DBF" w:rsidRPr="00BC501D" w:rsidRDefault="00290DBF">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Avots: AS “Augstspriegumu tīkls”</w:t>
      </w:r>
    </w:p>
  </w:footnote>
  <w:footnote w:id="27">
    <w:p w14:paraId="100362E9" w14:textId="77777777" w:rsidR="00290DBF" w:rsidRPr="00BC501D" w:rsidRDefault="00290DBF">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LV-Latvijas tirdzniecības apgabals, LT-Lietuvas tirdzniecības apgabals, EE-Igaunijas tirdzniecības apgabals, FI-Somijas tirdzniecības apgabals, SE4-Zviedrijas ceturtais tirdzniecības apgabals, LBI-Lietuvas-Baltkrievijas importa tirdzniecības apgabals</w:t>
      </w:r>
    </w:p>
  </w:footnote>
  <w:footnote w:id="28">
    <w:p w14:paraId="6CF64621" w14:textId="77777777" w:rsidR="00290DBF" w:rsidRPr="00BC501D" w:rsidRDefault="00290DBF" w:rsidP="00293E59">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Noslogotība = mēneša summārā </w:t>
      </w:r>
      <w:proofErr w:type="spellStart"/>
      <w:r w:rsidRPr="00BC501D">
        <w:rPr>
          <w:rFonts w:asciiTheme="minorHAnsi" w:hAnsiTheme="minorHAnsi" w:cstheme="minorHAnsi"/>
        </w:rPr>
        <w:t>komercplūsmas</w:t>
      </w:r>
      <w:proofErr w:type="spellEnd"/>
      <w:r w:rsidRPr="00BC501D">
        <w:rPr>
          <w:rFonts w:asciiTheme="minorHAnsi" w:hAnsiTheme="minorHAnsi" w:cstheme="minorHAnsi"/>
        </w:rPr>
        <w:t xml:space="preserve"> </w:t>
      </w:r>
      <w:proofErr w:type="spellStart"/>
      <w:r w:rsidRPr="00BC501D">
        <w:rPr>
          <w:rFonts w:asciiTheme="minorHAnsi" w:hAnsiTheme="minorHAnsi" w:cstheme="minorHAnsi"/>
        </w:rPr>
        <w:t>kWh</w:t>
      </w:r>
      <w:proofErr w:type="spellEnd"/>
      <w:r w:rsidRPr="00BC501D">
        <w:rPr>
          <w:rFonts w:asciiTheme="minorHAnsi" w:hAnsiTheme="minorHAnsi" w:cstheme="minorHAnsi"/>
        </w:rPr>
        <w:t xml:space="preserve"> / mēneša summārā neto pārvades jauda </w:t>
      </w:r>
      <w:proofErr w:type="spellStart"/>
      <w:r w:rsidRPr="00BC501D">
        <w:rPr>
          <w:rFonts w:asciiTheme="minorHAnsi" w:hAnsiTheme="minorHAnsi" w:cstheme="minorHAnsi"/>
        </w:rPr>
        <w:t>kWh</w:t>
      </w:r>
      <w:proofErr w:type="spellEnd"/>
      <w:r w:rsidRPr="00BC501D">
        <w:rPr>
          <w:rFonts w:asciiTheme="minorHAnsi" w:hAnsiTheme="minorHAnsi" w:cstheme="minorHAnsi"/>
        </w:rPr>
        <w:t xml:space="preserve"> („Net </w:t>
      </w:r>
      <w:proofErr w:type="spellStart"/>
      <w:r w:rsidRPr="00BC501D">
        <w:rPr>
          <w:rFonts w:asciiTheme="minorHAnsi" w:hAnsiTheme="minorHAnsi" w:cstheme="minorHAnsi"/>
        </w:rPr>
        <w:t>Transfer</w:t>
      </w:r>
      <w:proofErr w:type="spellEnd"/>
      <w:r w:rsidRPr="00BC501D">
        <w:rPr>
          <w:rFonts w:asciiTheme="minorHAnsi" w:hAnsiTheme="minorHAnsi" w:cstheme="minorHAnsi"/>
        </w:rPr>
        <w:t xml:space="preserve"> </w:t>
      </w:r>
      <w:proofErr w:type="spellStart"/>
      <w:r w:rsidRPr="00BC501D">
        <w:rPr>
          <w:rFonts w:asciiTheme="minorHAnsi" w:hAnsiTheme="minorHAnsi" w:cstheme="minorHAnsi"/>
        </w:rPr>
        <w:t>Capacity</w:t>
      </w:r>
      <w:proofErr w:type="spellEnd"/>
      <w:r w:rsidRPr="00BC501D">
        <w:rPr>
          <w:rFonts w:asciiTheme="minorHAnsi" w:hAnsiTheme="minorHAnsi" w:cstheme="minorHAnsi"/>
        </w:rPr>
        <w:t>” NTC).</w:t>
      </w:r>
    </w:p>
  </w:footnote>
  <w:footnote w:id="29">
    <w:p w14:paraId="3EED56C0" w14:textId="77777777" w:rsidR="00290DBF" w:rsidRPr="00BC501D" w:rsidRDefault="00290DBF">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spacing w:val="-2"/>
        </w:rPr>
        <w:t xml:space="preserve">Nord </w:t>
      </w:r>
      <w:proofErr w:type="spellStart"/>
      <w:r w:rsidRPr="00BC501D">
        <w:rPr>
          <w:rFonts w:asciiTheme="minorHAnsi" w:hAnsiTheme="minorHAnsi" w:cstheme="minorHAnsi"/>
          <w:spacing w:val="-2"/>
        </w:rPr>
        <w:t>Pool</w:t>
      </w:r>
      <w:proofErr w:type="spellEnd"/>
      <w:r w:rsidRPr="00BC501D">
        <w:rPr>
          <w:rFonts w:asciiTheme="minorHAnsi" w:hAnsiTheme="minorHAnsi" w:cstheme="minorHAnsi"/>
          <w:spacing w:val="-2"/>
        </w:rPr>
        <w:t xml:space="preserve"> ir Ziemeļvalstu elektroenerģijas birža, kurā, balstoties uz tirgus principiem, tiek noteikta Latvijas tirdzniecības apgabala elektroenerģijas cena</w:t>
      </w:r>
    </w:p>
  </w:footnote>
  <w:footnote w:id="30">
    <w:p w14:paraId="3225D9D8"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hyperlink r:id="rId8" w:history="1">
        <w:r w:rsidRPr="00BC501D">
          <w:rPr>
            <w:rStyle w:val="Hyperlink"/>
            <w:rFonts w:asciiTheme="minorHAnsi" w:hAnsiTheme="minorHAnsi" w:cstheme="minorHAnsi"/>
          </w:rPr>
          <w:t>https://ec.europa.eu/commission/sites/beta-political/files/energy-union-factsheet-latvia_en.pdf</w:t>
        </w:r>
      </w:hyperlink>
      <w:r w:rsidRPr="00BC501D">
        <w:rPr>
          <w:rFonts w:asciiTheme="minorHAnsi" w:hAnsiTheme="minorHAnsi" w:cstheme="minorHAnsi"/>
        </w:rPr>
        <w:t xml:space="preserve">; </w:t>
      </w:r>
      <w:hyperlink r:id="rId9" w:history="1">
        <w:r w:rsidRPr="00BC501D">
          <w:rPr>
            <w:rStyle w:val="Hyperlink"/>
            <w:rFonts w:asciiTheme="minorHAnsi" w:hAnsiTheme="minorHAnsi" w:cstheme="minorHAnsi"/>
          </w:rPr>
          <w:t>https://ec.europa.eu/energy/sites/ener/files/documents/report_of_the_commission_expert_group_on_electricity_interconnection_targets.pdf</w:t>
        </w:r>
      </w:hyperlink>
      <w:r w:rsidRPr="00BC501D">
        <w:rPr>
          <w:rFonts w:asciiTheme="minorHAnsi" w:hAnsiTheme="minorHAnsi" w:cstheme="minorHAnsi"/>
        </w:rPr>
        <w:t xml:space="preserve">; </w:t>
      </w:r>
      <w:hyperlink r:id="rId10" w:history="1">
        <w:r w:rsidRPr="00BC501D">
          <w:rPr>
            <w:rStyle w:val="Hyperlink"/>
            <w:rFonts w:asciiTheme="minorHAnsi" w:hAnsiTheme="minorHAnsi" w:cstheme="minorHAnsi"/>
          </w:rPr>
          <w:t>https://ec.europa.eu/energy/sites/ener/files/documents/2nd_report_ic_with_neighbouring_countries_b5.pdf</w:t>
        </w:r>
      </w:hyperlink>
      <w:r w:rsidRPr="00BC501D">
        <w:rPr>
          <w:rFonts w:asciiTheme="minorHAnsi" w:hAnsiTheme="minorHAnsi" w:cstheme="minorHAnsi"/>
        </w:rPr>
        <w:t xml:space="preserve"> </w:t>
      </w:r>
    </w:p>
  </w:footnote>
  <w:footnote w:id="31">
    <w:p w14:paraId="712301FE" w14:textId="77777777" w:rsidR="00290DBF" w:rsidRPr="00BC501D" w:rsidRDefault="00290DBF" w:rsidP="003B6211">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Avots: AS “Augstspriegumu tīkls”</w:t>
      </w:r>
    </w:p>
  </w:footnote>
  <w:footnote w:id="32">
    <w:p w14:paraId="671054E6"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http://www.conexus.lv/uploads/filedir/parvades_operatora_zinojums_2018.pdf</w:t>
      </w:r>
    </w:p>
  </w:footnote>
  <w:footnote w:id="33">
    <w:p w14:paraId="2A8C3EA4" w14:textId="3A78B591" w:rsidR="00290DBF" w:rsidRPr="00BC501D" w:rsidRDefault="00290DBF">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http://www.ast.lv/content/elektroenergijas-parvades-sistemas-attistibas-plans</w:t>
      </w:r>
    </w:p>
  </w:footnote>
  <w:footnote w:id="34">
    <w:p w14:paraId="294C036C" w14:textId="1DB197C9" w:rsidR="00290DBF" w:rsidRPr="00BC501D" w:rsidRDefault="00290DBF">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http://tyndp.entsoe.eu/</w:t>
      </w:r>
    </w:p>
  </w:footnote>
  <w:footnote w:id="35">
    <w:p w14:paraId="161E01B0" w14:textId="731E7D3E" w:rsidR="00290DBF" w:rsidRDefault="00290DBF">
      <w:pPr>
        <w:pStyle w:val="FootnoteText"/>
      </w:pPr>
      <w:r>
        <w:rPr>
          <w:rStyle w:val="FootnoteReference"/>
        </w:rPr>
        <w:footnoteRef/>
      </w:r>
      <w:r>
        <w:t xml:space="preserve"> </w:t>
      </w:r>
      <w:hyperlink r:id="rId11" w:history="1">
        <w:r>
          <w:rPr>
            <w:rStyle w:val="Hyperlink"/>
          </w:rPr>
          <w:t>http://www.conexus.lv/uploads/filedir/pso_zinojums_2018.pdf</w:t>
        </w:r>
      </w:hyperlink>
    </w:p>
  </w:footnote>
  <w:footnote w:id="36">
    <w:p w14:paraId="7895DD7C"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Aprēķinam izmantota vidējā Nord </w:t>
      </w:r>
      <w:proofErr w:type="spellStart"/>
      <w:r w:rsidRPr="00BC501D">
        <w:rPr>
          <w:rFonts w:asciiTheme="minorHAnsi" w:hAnsiTheme="minorHAnsi" w:cstheme="minorHAnsi"/>
        </w:rPr>
        <w:t>Pool</w:t>
      </w:r>
      <w:proofErr w:type="spellEnd"/>
      <w:r w:rsidRPr="00BC501D">
        <w:rPr>
          <w:rFonts w:asciiTheme="minorHAnsi" w:hAnsiTheme="minorHAnsi" w:cstheme="minorHAnsi"/>
        </w:rPr>
        <w:t xml:space="preserve"> elektroenerģijas cena – 0,0348EUR/</w:t>
      </w:r>
      <w:proofErr w:type="spellStart"/>
      <w:r w:rsidRPr="00BC501D">
        <w:rPr>
          <w:rFonts w:asciiTheme="minorHAnsi" w:hAnsiTheme="minorHAnsi" w:cstheme="minorHAnsi"/>
        </w:rPr>
        <w:t>kWh</w:t>
      </w:r>
      <w:proofErr w:type="spellEnd"/>
    </w:p>
  </w:footnote>
  <w:footnote w:id="37">
    <w:p w14:paraId="15F8BEE7" w14:textId="77777777" w:rsidR="001121B4" w:rsidRPr="00BC501D" w:rsidRDefault="001121B4" w:rsidP="001121B4">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hyperlink r:id="rId12" w:history="1">
        <w:r w:rsidRPr="00BC501D">
          <w:rPr>
            <w:rStyle w:val="Hyperlink"/>
            <w:rFonts w:asciiTheme="minorHAnsi" w:hAnsiTheme="minorHAnsi" w:cstheme="minorHAnsi"/>
          </w:rPr>
          <w:t>http://ec.europa.eu/eurostat/data/database</w:t>
        </w:r>
      </w:hyperlink>
    </w:p>
  </w:footnote>
  <w:footnote w:id="38">
    <w:p w14:paraId="5415D2D2" w14:textId="77777777" w:rsidR="001121B4" w:rsidRPr="00BC501D" w:rsidRDefault="001121B4" w:rsidP="001121B4">
      <w:pPr>
        <w:pStyle w:val="FootnoteText"/>
        <w:rPr>
          <w:rFonts w:asciiTheme="minorHAnsi" w:hAnsiTheme="minorHAnsi" w:cstheme="minorHAnsi"/>
        </w:rPr>
      </w:pPr>
      <w:r w:rsidRPr="00BC501D">
        <w:rPr>
          <w:rStyle w:val="FootnoteReference"/>
          <w:rFonts w:asciiTheme="minorHAnsi" w:hAnsiTheme="minorHAnsi" w:cstheme="minorHAnsi"/>
        </w:rPr>
        <w:footnoteRef/>
      </w:r>
      <w:hyperlink r:id="rId13" w:history="1">
        <w:r w:rsidRPr="00BC501D">
          <w:rPr>
            <w:rStyle w:val="Hyperlink"/>
            <w:rFonts w:asciiTheme="minorHAnsi" w:hAnsiTheme="minorHAnsi" w:cstheme="minorHAnsi"/>
          </w:rPr>
          <w:t>https://ec.europa.eu/energy/sites/ener/files/documents/quarterly_report_on_european_gas_markets_q4_2017_final_20180323.pdf</w:t>
        </w:r>
      </w:hyperlink>
    </w:p>
  </w:footnote>
  <w:footnote w:id="39">
    <w:p w14:paraId="4247E437"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hyperlink r:id="rId14" w:history="1">
        <w:r w:rsidRPr="00BC501D">
          <w:rPr>
            <w:rStyle w:val="Hyperlink"/>
            <w:rFonts w:asciiTheme="minorHAnsi" w:hAnsiTheme="minorHAnsi" w:cstheme="minorHAnsi"/>
          </w:rPr>
          <w:t>https://www.iub.gov.lv/lv/iubsearch/q/dabasg%C4%81ze/</w:t>
        </w:r>
      </w:hyperlink>
    </w:p>
  </w:footnote>
  <w:footnote w:id="40">
    <w:p w14:paraId="5B0AD8C9"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EUROSTAT</w:t>
      </w:r>
    </w:p>
  </w:footnote>
  <w:footnote w:id="41">
    <w:p w14:paraId="4A2B89CF"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EUROSTAT</w:t>
      </w:r>
    </w:p>
  </w:footnote>
  <w:footnote w:id="42">
    <w:p w14:paraId="0352AE88"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Tabulā iekļauti tie mājsaimniecību veidi, kur atšķirības ar ES-28 vidējo rādītāju ir vairāk kā 4 procentpunkti. </w:t>
      </w:r>
    </w:p>
  </w:footnote>
  <w:footnote w:id="43">
    <w:p w14:paraId="15FE5334"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Nabadzības riskam pakļauts</w:t>
      </w:r>
    </w:p>
  </w:footnote>
  <w:footnote w:id="44">
    <w:p w14:paraId="368B5F57" w14:textId="77777777" w:rsidR="001121B4" w:rsidRPr="00BC501D" w:rsidRDefault="001121B4" w:rsidP="001121B4">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rPr>
        <w:t>Avots: AS “Latvijas gāze”</w:t>
      </w:r>
    </w:p>
  </w:footnote>
  <w:footnote w:id="45">
    <w:p w14:paraId="546F9699" w14:textId="77777777" w:rsidR="001121B4" w:rsidRPr="00BC501D" w:rsidRDefault="001121B4" w:rsidP="001121B4">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rPr>
        <w:t>Avots: a/s “Sadales tīkls”</w:t>
      </w:r>
    </w:p>
  </w:footnote>
  <w:footnote w:id="46">
    <w:p w14:paraId="2A34B0C3" w14:textId="3F279597" w:rsidR="00290DBF" w:rsidRPr="00BC501D" w:rsidRDefault="00290DBF" w:rsidP="001406A3">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rPr>
        <w:t>Avots: SPRK</w:t>
      </w:r>
    </w:p>
    <w:p w14:paraId="6CA2934D" w14:textId="5FE24AAF" w:rsidR="00290DBF" w:rsidRPr="00BC501D" w:rsidRDefault="00290DBF" w:rsidP="001406A3">
      <w:pPr>
        <w:pStyle w:val="FootnoteText"/>
        <w:rPr>
          <w:rFonts w:asciiTheme="minorHAnsi" w:hAnsiTheme="minorHAnsi" w:cstheme="minorHAnsi"/>
        </w:rPr>
      </w:pPr>
      <w:r w:rsidRPr="00BC501D">
        <w:rPr>
          <w:rFonts w:asciiTheme="minorHAnsi" w:hAnsiTheme="minorHAnsi" w:cstheme="minorHAnsi"/>
        </w:rPr>
        <w:t>Attēls neatspoguļo reālās proporcijas, bet demonstrē tarifu sastāvdaļu ietekmes apjomu</w:t>
      </w:r>
    </w:p>
  </w:footnote>
  <w:footnote w:id="47">
    <w:p w14:paraId="6F55C0AA" w14:textId="74EEFFF0" w:rsidR="00290DBF" w:rsidRPr="00BC501D" w:rsidRDefault="00290DBF" w:rsidP="00E47B85">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rPr>
        <w:t>Avots: Latvijas Degvielas tirgotāju asociācija</w:t>
      </w:r>
    </w:p>
  </w:footnote>
  <w:footnote w:id="48">
    <w:p w14:paraId="307480D2"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rPr>
        <w:t>etilspirts, kas iegūts no lauksaimniecības izejvielām un kas ir dehidrēts (ar spirta saturu vismaz 99,5 tilpumprocenti) un absolūtā spirta saturs veido 5,0 tilpumprocentus no kopējā produktu daudzuma</w:t>
      </w:r>
    </w:p>
  </w:footnote>
  <w:footnote w:id="49">
    <w:p w14:paraId="007EBDC0"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shd w:val="clear" w:color="auto" w:fill="FFFFFF"/>
        </w:rPr>
        <w:t>nodokli par 1000 litriem aprēķina 30 % apmērā no likmes svinu nesaturošam benzīnam</w:t>
      </w:r>
    </w:p>
  </w:footnote>
  <w:footnote w:id="50">
    <w:p w14:paraId="194230D7"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rPr>
        <w:t xml:space="preserve">etilspirts, kas iegūts no lauksaimniecības izejvielām un ir </w:t>
      </w:r>
      <w:proofErr w:type="spellStart"/>
      <w:r w:rsidRPr="00BC501D">
        <w:rPr>
          <w:rFonts w:asciiTheme="minorHAnsi" w:hAnsiTheme="minorHAnsi" w:cstheme="minorHAnsi"/>
          <w:color w:val="000000"/>
        </w:rPr>
        <w:t>dehidratēts</w:t>
      </w:r>
      <w:proofErr w:type="spellEnd"/>
      <w:r w:rsidRPr="00BC501D">
        <w:rPr>
          <w:rFonts w:asciiTheme="minorHAnsi" w:hAnsiTheme="minorHAnsi" w:cstheme="minorHAnsi"/>
          <w:color w:val="000000"/>
        </w:rPr>
        <w:t xml:space="preserve"> (ar spirta saturu vismaz 99,5 tilpumprocenti) un absolūtā spirta saturs veido no 70,0 līdz 85,0 tilpumprocentus no kopējā produktu daudzuma</w:t>
      </w:r>
    </w:p>
  </w:footnote>
  <w:footnote w:id="51">
    <w:p w14:paraId="1B586387"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eastAsia="Times New Roman" w:hAnsiTheme="minorHAnsi" w:cstheme="minorHAnsi"/>
          <w:color w:val="000000"/>
          <w:lang w:eastAsia="lv-LV"/>
        </w:rPr>
        <w:t>absolūtā spirta saturs no 70 līdz 85 tilpumprocentiem</w:t>
      </w:r>
    </w:p>
  </w:footnote>
  <w:footnote w:id="52">
    <w:p w14:paraId="28EEF298"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eastAsia="Times New Roman" w:hAnsiTheme="minorHAnsi" w:cstheme="minorHAnsi"/>
          <w:color w:val="000000"/>
          <w:lang w:eastAsia="lv-LV"/>
        </w:rPr>
        <w:t>absolūtā spirta saturs no 70 līdz 85 tilpumprocentiem</w:t>
      </w:r>
    </w:p>
  </w:footnote>
  <w:footnote w:id="53">
    <w:p w14:paraId="71DD8A6B"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rPr>
        <w:t>biodīzeļdegviela vai rapšu sēklu eļļa veido no 5 līdz 30 (neieskaitot) tilpumprocentiem no kopējā naftas produktu daudzuma</w:t>
      </w:r>
    </w:p>
  </w:footnote>
  <w:footnote w:id="54">
    <w:p w14:paraId="5B142138"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rPr>
        <w:t>biodīzeļdegviela vai rapšu sēklu eļļa veido vismaz 30 tilpumprocentus no kopējā naftas produktu daudzuma</w:t>
      </w:r>
    </w:p>
  </w:footnote>
  <w:footnote w:id="55">
    <w:p w14:paraId="2E4B4A9F"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rPr>
        <w:t>biodīzeļdegviela, kas pilnībā iegūta no rapšu sēklu eļļas un rapšu sēklu eļļa, kuru realizē vai izmanto par kurināmo vai degvielu</w:t>
      </w:r>
    </w:p>
  </w:footnote>
  <w:footnote w:id="56">
    <w:p w14:paraId="197A711C"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rPr>
        <w:t xml:space="preserve">degvieleļļai, kuras </w:t>
      </w:r>
      <w:proofErr w:type="spellStart"/>
      <w:r w:rsidRPr="00BC501D">
        <w:rPr>
          <w:rFonts w:asciiTheme="minorHAnsi" w:hAnsiTheme="minorHAnsi" w:cstheme="minorHAnsi"/>
          <w:color w:val="000000"/>
        </w:rPr>
        <w:t>kolometriskais</w:t>
      </w:r>
      <w:proofErr w:type="spellEnd"/>
      <w:r w:rsidRPr="00BC501D">
        <w:rPr>
          <w:rFonts w:asciiTheme="minorHAnsi" w:hAnsiTheme="minorHAnsi" w:cstheme="minorHAnsi"/>
          <w:color w:val="000000"/>
        </w:rPr>
        <w:t xml:space="preserve"> indekss ir mazāks par 2,0 un kinemātiskā viskozitāte 50</w:t>
      </w:r>
      <w:r w:rsidRPr="00BC501D">
        <w:rPr>
          <w:rFonts w:asciiTheme="minorHAnsi" w:hAnsiTheme="minorHAnsi" w:cstheme="minorHAnsi"/>
          <w:color w:val="000000"/>
          <w:vertAlign w:val="superscript"/>
        </w:rPr>
        <w:t>o</w:t>
      </w:r>
      <w:r w:rsidRPr="00BC501D">
        <w:rPr>
          <w:rFonts w:asciiTheme="minorHAnsi" w:hAnsiTheme="minorHAnsi" w:cstheme="minorHAnsi"/>
          <w:color w:val="000000"/>
        </w:rPr>
        <w:t> C ir mazāka par 25 mm²/s, tās aizstājējproduktiem un komponentiem</w:t>
      </w:r>
    </w:p>
  </w:footnote>
  <w:footnote w:id="57">
    <w:p w14:paraId="0951ED42" w14:textId="77777777" w:rsidR="00290DBF" w:rsidRPr="00BC501D" w:rsidRDefault="00290DBF" w:rsidP="00D87276">
      <w:pPr>
        <w:pStyle w:val="NormalWeb"/>
        <w:shd w:val="clear" w:color="auto" w:fill="FFFFFF"/>
        <w:spacing w:before="0" w:beforeAutospacing="0" w:after="0" w:afterAutospacing="0"/>
        <w:jc w:val="both"/>
        <w:rPr>
          <w:rFonts w:asciiTheme="minorHAnsi" w:hAnsiTheme="minorHAnsi" w:cstheme="minorHAnsi"/>
          <w:color w:val="000000"/>
          <w:sz w:val="18"/>
          <w:szCs w:val="18"/>
        </w:rPr>
      </w:pPr>
      <w:r w:rsidRPr="00BC501D">
        <w:rPr>
          <w:rStyle w:val="FootnoteReference"/>
          <w:rFonts w:asciiTheme="minorHAnsi" w:hAnsiTheme="minorHAnsi" w:cstheme="minorHAnsi"/>
          <w:sz w:val="18"/>
          <w:szCs w:val="18"/>
        </w:rPr>
        <w:footnoteRef/>
      </w:r>
      <w:r w:rsidRPr="00BC501D">
        <w:rPr>
          <w:rFonts w:asciiTheme="minorHAnsi" w:hAnsiTheme="minorHAnsi" w:cstheme="minorHAnsi"/>
          <w:sz w:val="18"/>
          <w:szCs w:val="18"/>
        </w:rPr>
        <w:t xml:space="preserve"> </w:t>
      </w:r>
      <w:r w:rsidRPr="00BC501D">
        <w:rPr>
          <w:rFonts w:asciiTheme="minorHAnsi" w:hAnsiTheme="minorHAnsi" w:cstheme="minorHAnsi"/>
          <w:color w:val="000000"/>
          <w:sz w:val="18"/>
          <w:szCs w:val="18"/>
        </w:rPr>
        <w:t>ja piegādā izmantošanai par kurināmo - 0 EUR</w:t>
      </w:r>
    </w:p>
  </w:footnote>
  <w:footnote w:id="58">
    <w:p w14:paraId="2707A54A"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shd w:val="clear" w:color="auto" w:fill="FFFFFF"/>
        </w:rPr>
        <w:t>nodokli par 1000 litriem aprēķina 15 % apmērā no likmes dīzeļdegvielai</w:t>
      </w:r>
    </w:p>
  </w:footnote>
  <w:footnote w:id="59">
    <w:p w14:paraId="6B5CD714" w14:textId="77777777" w:rsidR="00290DBF" w:rsidRPr="00BC501D" w:rsidRDefault="00290DBF" w:rsidP="00D87276">
      <w:pPr>
        <w:pStyle w:val="FootnoteText"/>
        <w:jc w:val="both"/>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r w:rsidRPr="00BC501D">
        <w:rPr>
          <w:rFonts w:asciiTheme="minorHAnsi" w:hAnsiTheme="minorHAnsi" w:cstheme="minorHAnsi"/>
          <w:color w:val="000000"/>
        </w:rPr>
        <w:t>dīzeļdegviela (gāzeļļa) un tāda dīzeļdegviela (gāzeļļa), kurai pievienota no rapšu sēklām iegūta biodīzeļdegviela un kuru izmanto atbilstoši likuma “Par akcīzes nodokli” 18.panta piektajā daļā minētajam veidam, mērķiem un nosacījumiem (lauksaimniecības produkcijas ražošanai, lauksaimniecības zemes apstrādei, kā arī tādas meža vai purva zemes apstrādei, kur kultivē dzērvenes vai mellenes un zemes zem zivju dīķiem apstrādei, ja ir nodrošināti minimālie ieņēmumi no lauksaimnieciskās ražošanas)un tiek iezīmēti (marķēti)</w:t>
      </w:r>
    </w:p>
  </w:footnote>
  <w:footnote w:id="60">
    <w:p w14:paraId="63B41A3E" w14:textId="77777777" w:rsidR="00290DBF" w:rsidRPr="00BC501D" w:rsidRDefault="00290DBF" w:rsidP="00D87276">
      <w:pPr>
        <w:pStyle w:val="FootnoteText"/>
        <w:rPr>
          <w:rFonts w:asciiTheme="minorHAnsi" w:hAnsiTheme="minorHAnsi" w:cstheme="minorHAnsi"/>
          <w:lang w:val="en-US"/>
        </w:rPr>
      </w:pPr>
      <w:r w:rsidRPr="00BC501D">
        <w:rPr>
          <w:rStyle w:val="FootnoteReference"/>
          <w:rFonts w:asciiTheme="minorHAnsi" w:hAnsiTheme="minorHAnsi" w:cstheme="minorHAnsi"/>
        </w:rPr>
        <w:footnoteRef/>
      </w:r>
      <w:r w:rsidRPr="00BC501D">
        <w:rPr>
          <w:rFonts w:asciiTheme="minorHAnsi" w:hAnsiTheme="minorHAnsi" w:cstheme="minorHAnsi"/>
        </w:rPr>
        <w:t xml:space="preserve"> Nacionālā zinātniskās darbības informācijas sistēma (NZDIS) </w:t>
      </w:r>
      <w:r w:rsidRPr="00BC501D">
        <w:rPr>
          <w:rStyle w:val="standard-description"/>
          <w:rFonts w:asciiTheme="minorHAnsi" w:hAnsiTheme="minorHAnsi" w:cstheme="minorHAnsi"/>
        </w:rPr>
        <w:t xml:space="preserve">Zinātniskajās institūcijās akadēmiskajos amatos ievēlēto personu reģistrs, </w:t>
      </w:r>
      <w:r w:rsidRPr="00BC501D">
        <w:rPr>
          <w:rFonts w:asciiTheme="minorHAnsi" w:eastAsia="Times New Roman" w:hAnsiTheme="minorHAnsi" w:cstheme="minorHAnsi"/>
        </w:rPr>
        <w:t xml:space="preserve">(dati uz 08.08.2019.) </w:t>
      </w:r>
      <w:r w:rsidRPr="00BC501D">
        <w:rPr>
          <w:rFonts w:asciiTheme="minorHAnsi" w:hAnsiTheme="minorHAnsi" w:cstheme="minorHAnsi"/>
        </w:rPr>
        <w:t xml:space="preserve"> </w:t>
      </w:r>
      <w:hyperlink w:history="1">
        <w:r w:rsidRPr="00BC501D">
          <w:rPr>
            <w:rStyle w:val="Hyperlink"/>
            <w:rFonts w:asciiTheme="minorHAnsi" w:hAnsiTheme="minorHAnsi" w:cstheme="minorHAnsi"/>
          </w:rPr>
          <w:t xml:space="preserve">https://sciencelatvia.lv </w:t>
        </w:r>
      </w:hyperlink>
    </w:p>
  </w:footnote>
  <w:footnote w:id="61">
    <w:p w14:paraId="0F5F9FA8" w14:textId="77777777" w:rsidR="00290DBF" w:rsidRPr="00BC501D" w:rsidRDefault="00290DBF" w:rsidP="00D87276">
      <w:pPr>
        <w:pStyle w:val="FootnoteText"/>
        <w:rPr>
          <w:rFonts w:asciiTheme="minorHAnsi" w:hAnsiTheme="minorHAnsi" w:cstheme="minorHAnsi"/>
          <w:lang w:val="en-US"/>
        </w:rPr>
      </w:pPr>
      <w:r w:rsidRPr="00BC501D">
        <w:rPr>
          <w:rStyle w:val="FootnoteReference"/>
          <w:rFonts w:asciiTheme="minorHAnsi" w:hAnsiTheme="minorHAnsi" w:cstheme="minorHAnsi"/>
        </w:rPr>
        <w:footnoteRef/>
      </w:r>
      <w:r w:rsidRPr="00BC501D">
        <w:rPr>
          <w:rFonts w:asciiTheme="minorHAnsi" w:hAnsiTheme="minorHAnsi" w:cstheme="minorHAnsi"/>
        </w:rPr>
        <w:t xml:space="preserve"> Eiropas Patentu birojs, </w:t>
      </w:r>
      <w:hyperlink r:id="rId15" w:history="1">
        <w:r w:rsidRPr="00BC501D">
          <w:rPr>
            <w:rStyle w:val="Hyperlink"/>
            <w:rFonts w:asciiTheme="minorHAnsi" w:hAnsiTheme="minorHAnsi" w:cstheme="minorHAnsi"/>
          </w:rPr>
          <w:t>https://www.epo.org/</w:t>
        </w:r>
      </w:hyperlink>
      <w:r w:rsidRPr="00BC501D">
        <w:rPr>
          <w:rFonts w:asciiTheme="minorHAnsi" w:hAnsiTheme="minorHAnsi" w:cstheme="minorHAnsi"/>
        </w:rPr>
        <w:t xml:space="preserve"> </w:t>
      </w:r>
    </w:p>
  </w:footnote>
  <w:footnote w:id="62">
    <w:p w14:paraId="627CAF6B" w14:textId="77777777" w:rsidR="00290DBF" w:rsidRPr="00BC501D" w:rsidRDefault="00290DBF" w:rsidP="00D87276">
      <w:pPr>
        <w:pStyle w:val="FootnoteText"/>
        <w:rPr>
          <w:rFonts w:asciiTheme="minorHAnsi" w:hAnsiTheme="minorHAnsi" w:cstheme="minorHAnsi"/>
          <w:lang w:val="en-US"/>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hyperlink r:id="rId16" w:history="1">
        <w:r w:rsidRPr="00BC501D">
          <w:rPr>
            <w:rStyle w:val="Hyperlink"/>
            <w:rFonts w:asciiTheme="minorHAnsi" w:hAnsiTheme="minorHAnsi" w:cstheme="minorHAnsi"/>
          </w:rPr>
          <w:t>https://likumi.lv/ta/id/287272-jaunuznemumu-darbibas-atbalsta-likums</w:t>
        </w:r>
      </w:hyperlink>
      <w:r w:rsidRPr="00BC501D">
        <w:rPr>
          <w:rFonts w:asciiTheme="minorHAnsi" w:hAnsiTheme="minorHAnsi" w:cstheme="minorHAnsi"/>
        </w:rPr>
        <w:t xml:space="preserve"> </w:t>
      </w:r>
    </w:p>
  </w:footnote>
  <w:footnote w:id="63">
    <w:p w14:paraId="64628F55" w14:textId="77777777" w:rsidR="00290DBF" w:rsidRPr="00BC501D" w:rsidRDefault="00290DBF" w:rsidP="00D87276">
      <w:pPr>
        <w:pStyle w:val="FootnoteText"/>
        <w:rPr>
          <w:rFonts w:asciiTheme="minorHAnsi" w:hAnsiTheme="minorHAnsi" w:cstheme="minorHAnsi"/>
          <w:lang w:val="en-US"/>
        </w:rPr>
      </w:pPr>
      <w:r w:rsidRPr="00BC501D">
        <w:rPr>
          <w:rStyle w:val="FootnoteReference"/>
          <w:rFonts w:asciiTheme="minorHAnsi" w:hAnsiTheme="minorHAnsi" w:cstheme="minorHAnsi"/>
        </w:rPr>
        <w:footnoteRef/>
      </w:r>
      <w:r w:rsidRPr="00BC501D">
        <w:rPr>
          <w:rFonts w:asciiTheme="minorHAnsi" w:hAnsiTheme="minorHAnsi" w:cstheme="minorHAnsi"/>
        </w:rPr>
        <w:t xml:space="preserve"> Viedo </w:t>
      </w:r>
      <w:proofErr w:type="spellStart"/>
      <w:r w:rsidRPr="00BC501D">
        <w:rPr>
          <w:rFonts w:asciiTheme="minorHAnsi" w:hAnsiTheme="minorHAnsi" w:cstheme="minorHAnsi"/>
        </w:rPr>
        <w:t>inženiersistēmu</w:t>
      </w:r>
      <w:proofErr w:type="spellEnd"/>
      <w:r w:rsidRPr="00BC501D">
        <w:rPr>
          <w:rFonts w:asciiTheme="minorHAnsi" w:hAnsiTheme="minorHAnsi" w:cstheme="minorHAnsi"/>
        </w:rPr>
        <w:t xml:space="preserve">, transporta un enerģētikas Kompetences centrs, </w:t>
      </w:r>
      <w:hyperlink r:id="rId17" w:history="1">
        <w:r w:rsidRPr="00BC501D">
          <w:rPr>
            <w:rStyle w:val="Hyperlink"/>
            <w:rFonts w:asciiTheme="minorHAnsi" w:hAnsiTheme="minorHAnsi" w:cstheme="minorHAnsi"/>
          </w:rPr>
          <w:t>http://www.vitekc.lv/</w:t>
        </w:r>
      </w:hyperlink>
      <w:r w:rsidRPr="00BC501D">
        <w:rPr>
          <w:rFonts w:asciiTheme="minorHAnsi" w:hAnsiTheme="minorHAnsi" w:cstheme="minorHAnsi"/>
        </w:rPr>
        <w:t xml:space="preserve"> </w:t>
      </w:r>
    </w:p>
  </w:footnote>
  <w:footnote w:id="64">
    <w:p w14:paraId="3421AC90" w14:textId="77777777" w:rsidR="00290DBF" w:rsidRPr="00BC501D" w:rsidRDefault="00290DBF" w:rsidP="00D87276">
      <w:pPr>
        <w:pStyle w:val="FootnoteText"/>
        <w:rPr>
          <w:rFonts w:asciiTheme="minorHAnsi" w:hAnsiTheme="minorHAnsi" w:cstheme="minorHAnsi"/>
        </w:rPr>
      </w:pPr>
      <w:r w:rsidRPr="00BC501D">
        <w:rPr>
          <w:rStyle w:val="FootnoteReference"/>
          <w:rFonts w:asciiTheme="minorHAnsi" w:hAnsiTheme="minorHAnsi" w:cstheme="minorHAnsi"/>
        </w:rPr>
        <w:footnoteRef/>
      </w:r>
      <w:r w:rsidRPr="00BC501D">
        <w:rPr>
          <w:rFonts w:asciiTheme="minorHAnsi" w:hAnsiTheme="minorHAnsi" w:cstheme="minorHAnsi"/>
        </w:rPr>
        <w:t xml:space="preserve"> </w:t>
      </w:r>
      <w:hyperlink r:id="rId18" w:history="1">
        <w:r w:rsidRPr="00BC501D">
          <w:rPr>
            <w:rStyle w:val="Hyperlink"/>
            <w:rFonts w:asciiTheme="minorHAnsi" w:hAnsiTheme="minorHAnsi" w:cstheme="minorHAnsi"/>
          </w:rPr>
          <w:t>http://polsis.mk.gov.lv/documents/4294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70F94" w14:textId="77777777" w:rsidR="00290DBF" w:rsidRPr="00D87276" w:rsidRDefault="00290DBF" w:rsidP="00D87276">
    <w:pPr>
      <w:pStyle w:val="Header"/>
      <w:jc w:val="center"/>
      <w:rPr>
        <w:rFonts w:cstheme="minorHAnsi"/>
      </w:rPr>
    </w:pPr>
    <w:sdt>
      <w:sdtPr>
        <w:rPr>
          <w:rFonts w:cstheme="minorHAnsi"/>
        </w:rPr>
        <w:id w:val="435409199"/>
        <w:docPartObj>
          <w:docPartGallery w:val="Page Numbers (Top of Page)"/>
          <w:docPartUnique/>
        </w:docPartObj>
      </w:sdtPr>
      <w:sdtEndPr>
        <w:rPr>
          <w:noProof/>
        </w:rPr>
      </w:sdtEndPr>
      <w:sdtContent>
        <w:r w:rsidRPr="00D87276">
          <w:rPr>
            <w:rFonts w:cstheme="minorHAnsi"/>
          </w:rPr>
          <w:fldChar w:fldCharType="begin"/>
        </w:r>
        <w:r w:rsidRPr="00D87276">
          <w:rPr>
            <w:rFonts w:cstheme="minorHAnsi"/>
          </w:rPr>
          <w:instrText xml:space="preserve"> PAGE   \* MERGEFORMAT </w:instrText>
        </w:r>
        <w:r w:rsidRPr="00D87276">
          <w:rPr>
            <w:rFonts w:cstheme="minorHAnsi"/>
          </w:rPr>
          <w:fldChar w:fldCharType="separate"/>
        </w:r>
        <w:r w:rsidRPr="00D87276">
          <w:rPr>
            <w:rFonts w:cstheme="minorHAnsi"/>
            <w:noProof/>
          </w:rPr>
          <w:t>27</w:t>
        </w:r>
        <w:r w:rsidRPr="00D87276">
          <w:rPr>
            <w:rFonts w:cstheme="minorHAnsi"/>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27999546"/>
      <w:docPartObj>
        <w:docPartGallery w:val="Page Numbers (Top of Page)"/>
        <w:docPartUnique/>
      </w:docPartObj>
    </w:sdtPr>
    <w:sdtEndPr>
      <w:rPr>
        <w:noProof/>
      </w:rPr>
    </w:sdtEndPr>
    <w:sdtContent>
      <w:p w14:paraId="4D4C71C0" w14:textId="77777777" w:rsidR="00290DBF" w:rsidRPr="00A64C81" w:rsidRDefault="00290DBF" w:rsidP="00F97BC0">
        <w:pPr>
          <w:pStyle w:val="Header"/>
          <w:jc w:val="center"/>
          <w:rPr>
            <w:rFonts w:ascii="Times New Roman" w:hAnsi="Times New Roman" w:cs="Times New Roman"/>
          </w:rPr>
        </w:pPr>
        <w:r w:rsidRPr="00A64C81">
          <w:rPr>
            <w:rFonts w:ascii="Times New Roman" w:hAnsi="Times New Roman" w:cs="Times New Roman"/>
          </w:rPr>
          <w:fldChar w:fldCharType="begin"/>
        </w:r>
        <w:r w:rsidRPr="00A64C81">
          <w:rPr>
            <w:rFonts w:ascii="Times New Roman" w:hAnsi="Times New Roman" w:cs="Times New Roman"/>
          </w:rPr>
          <w:instrText xml:space="preserve"> PAGE   \* MERGEFORMAT </w:instrText>
        </w:r>
        <w:r w:rsidRPr="00A64C81">
          <w:rPr>
            <w:rFonts w:ascii="Times New Roman" w:hAnsi="Times New Roman" w:cs="Times New Roman"/>
          </w:rPr>
          <w:fldChar w:fldCharType="separate"/>
        </w:r>
        <w:r w:rsidRPr="00A64C81">
          <w:rPr>
            <w:rFonts w:ascii="Times New Roman" w:hAnsi="Times New Roman" w:cs="Times New Roman"/>
            <w:noProof/>
          </w:rPr>
          <w:t>2</w:t>
        </w:r>
        <w:r w:rsidRPr="00A64C81">
          <w:rPr>
            <w:rFonts w:ascii="Times New Roman" w:hAnsi="Times New Roman" w:cs="Times New Roman"/>
            <w:noProof/>
          </w:rPr>
          <w:fldChar w:fldCharType="end"/>
        </w:r>
      </w:p>
    </w:sdtContent>
  </w:sdt>
  <w:p w14:paraId="08B4B62F" w14:textId="77777777" w:rsidR="00290DBF" w:rsidRDefault="00290DBF"/>
  <w:p w14:paraId="17BDDDFA" w14:textId="77777777" w:rsidR="00290DBF" w:rsidRDefault="00290DBF" w:rsidP="00F97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F3E64"/>
    <w:multiLevelType w:val="hybridMultilevel"/>
    <w:tmpl w:val="85FA3F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 w15:restartNumberingAfterBreak="0">
    <w:nsid w:val="11036581"/>
    <w:multiLevelType w:val="hybridMultilevel"/>
    <w:tmpl w:val="B4824E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7FC64E3"/>
    <w:multiLevelType w:val="hybridMultilevel"/>
    <w:tmpl w:val="E89AF9B0"/>
    <w:lvl w:ilvl="0" w:tplc="04260001">
      <w:start w:val="1"/>
      <w:numFmt w:val="bullet"/>
      <w:lvlText w:val=""/>
      <w:lvlJc w:val="left"/>
      <w:pPr>
        <w:ind w:left="720" w:hanging="360"/>
      </w:pPr>
      <w:rPr>
        <w:rFonts w:ascii="Symbol" w:hAnsi="Symbol" w:hint="default"/>
      </w:rPr>
    </w:lvl>
    <w:lvl w:ilvl="1" w:tplc="9748509C">
      <w:numFmt w:val="bullet"/>
      <w:lvlText w:val=""/>
      <w:lvlJc w:val="left"/>
      <w:pPr>
        <w:ind w:left="1440" w:hanging="360"/>
      </w:pPr>
      <w:rPr>
        <w:rFonts w:ascii="Symbol" w:eastAsia="Times New Roman" w:hAnsi="Symbol" w:cs="Times New Roman"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3C203C9"/>
    <w:multiLevelType w:val="hybridMultilevel"/>
    <w:tmpl w:val="C8A4B18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4" w15:restartNumberingAfterBreak="0">
    <w:nsid w:val="2BC61173"/>
    <w:multiLevelType w:val="multilevel"/>
    <w:tmpl w:val="56D6A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475961"/>
    <w:multiLevelType w:val="hybridMultilevel"/>
    <w:tmpl w:val="4EF4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2174F98"/>
    <w:multiLevelType w:val="hybridMultilevel"/>
    <w:tmpl w:val="5E42803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32563F95"/>
    <w:multiLevelType w:val="multilevel"/>
    <w:tmpl w:val="0818F160"/>
    <w:lvl w:ilvl="0">
      <w:start w:val="2"/>
      <w:numFmt w:val="decimal"/>
      <w:pStyle w:val="Heading1"/>
      <w:lvlText w:val="%1."/>
      <w:lvlJc w:val="left"/>
      <w:pPr>
        <w:ind w:left="360" w:hanging="360"/>
      </w:pPr>
      <w:rPr>
        <w:rFonts w:hint="default"/>
        <w:b/>
        <w:bCs/>
        <w:sz w:val="28"/>
        <w:szCs w:val="28"/>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263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A8B1492"/>
    <w:multiLevelType w:val="hybridMultilevel"/>
    <w:tmpl w:val="ADEA7EF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3AA0E90"/>
    <w:multiLevelType w:val="hybridMultilevel"/>
    <w:tmpl w:val="AF1C33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8680D7E"/>
    <w:multiLevelType w:val="hybridMultilevel"/>
    <w:tmpl w:val="958EE3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A091014"/>
    <w:multiLevelType w:val="hybridMultilevel"/>
    <w:tmpl w:val="FF224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C522E22"/>
    <w:multiLevelType w:val="hybridMultilevel"/>
    <w:tmpl w:val="087C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1211FA0"/>
    <w:multiLevelType w:val="multilevel"/>
    <w:tmpl w:val="0024BB16"/>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15" w15:restartNumberingAfterBreak="0">
    <w:nsid w:val="596F3989"/>
    <w:multiLevelType w:val="hybridMultilevel"/>
    <w:tmpl w:val="D9D45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98043D6"/>
    <w:multiLevelType w:val="hybridMultilevel"/>
    <w:tmpl w:val="34A4BEDC"/>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17" w15:restartNumberingAfterBreak="0">
    <w:nsid w:val="5B132619"/>
    <w:multiLevelType w:val="hybridMultilevel"/>
    <w:tmpl w:val="C484708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695" w:hanging="615"/>
      </w:pPr>
      <w:rPr>
        <w:rFonts w:ascii="Symbol" w:hAnsi="Symbol" w:hint="default"/>
      </w:rPr>
    </w:lvl>
    <w:lvl w:ilvl="2" w:tplc="0AAE33E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0D0B5F"/>
    <w:multiLevelType w:val="hybridMultilevel"/>
    <w:tmpl w:val="EE56F9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C2A64F4"/>
    <w:multiLevelType w:val="hybridMultilevel"/>
    <w:tmpl w:val="5DE6CF4C"/>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6D7F7D05"/>
    <w:multiLevelType w:val="hybridMultilevel"/>
    <w:tmpl w:val="1CCAF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6DA525B2"/>
    <w:multiLevelType w:val="hybridMultilevel"/>
    <w:tmpl w:val="94284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DBA44BE"/>
    <w:multiLevelType w:val="hybridMultilevel"/>
    <w:tmpl w:val="F208D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2A626D3"/>
    <w:multiLevelType w:val="hybridMultilevel"/>
    <w:tmpl w:val="469E99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36662FC"/>
    <w:multiLevelType w:val="hybridMultilevel"/>
    <w:tmpl w:val="5AC6E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69E5A4C"/>
    <w:multiLevelType w:val="hybridMultilevel"/>
    <w:tmpl w:val="9828CC0A"/>
    <w:lvl w:ilvl="0" w:tplc="04260011">
      <w:start w:val="1"/>
      <w:numFmt w:val="decimal"/>
      <w:lvlText w:val="%1)"/>
      <w:lvlJc w:val="left"/>
      <w:pPr>
        <w:ind w:left="1429" w:hanging="360"/>
      </w:pPr>
    </w:lvl>
    <w:lvl w:ilvl="1" w:tplc="04260001">
      <w:start w:val="1"/>
      <w:numFmt w:val="bullet"/>
      <w:lvlText w:val=""/>
      <w:lvlJc w:val="left"/>
      <w:pPr>
        <w:ind w:left="2149" w:hanging="360"/>
      </w:pPr>
      <w:rPr>
        <w:rFonts w:ascii="Symbol" w:hAnsi="Symbol" w:hint="default"/>
      </w:r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num w:numId="1">
    <w:abstractNumId w:val="7"/>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
  </w:num>
  <w:num w:numId="5">
    <w:abstractNumId w:val="16"/>
  </w:num>
  <w:num w:numId="6">
    <w:abstractNumId w:val="11"/>
  </w:num>
  <w:num w:numId="7">
    <w:abstractNumId w:val="8"/>
  </w:num>
  <w:num w:numId="8">
    <w:abstractNumId w:val="13"/>
  </w:num>
  <w:num w:numId="9">
    <w:abstractNumId w:val="22"/>
  </w:num>
  <w:num w:numId="10">
    <w:abstractNumId w:val="24"/>
  </w:num>
  <w:num w:numId="11">
    <w:abstractNumId w:val="12"/>
  </w:num>
  <w:num w:numId="12">
    <w:abstractNumId w:val="6"/>
  </w:num>
  <w:num w:numId="13">
    <w:abstractNumId w:val="4"/>
  </w:num>
  <w:num w:numId="14">
    <w:abstractNumId w:val="19"/>
  </w:num>
  <w:num w:numId="15">
    <w:abstractNumId w:val="2"/>
  </w:num>
  <w:num w:numId="16">
    <w:abstractNumId w:val="18"/>
  </w:num>
  <w:num w:numId="17">
    <w:abstractNumId w:val="23"/>
  </w:num>
  <w:num w:numId="18">
    <w:abstractNumId w:val="20"/>
  </w:num>
  <w:num w:numId="19">
    <w:abstractNumId w:val="9"/>
  </w:num>
  <w:num w:numId="20">
    <w:abstractNumId w:val="25"/>
  </w:num>
  <w:num w:numId="21">
    <w:abstractNumId w:val="3"/>
  </w:num>
  <w:num w:numId="22">
    <w:abstractNumId w:val="21"/>
  </w:num>
  <w:num w:numId="23">
    <w:abstractNumId w:val="10"/>
  </w:num>
  <w:num w:numId="24">
    <w:abstractNumId w:val="0"/>
  </w:num>
  <w:num w:numId="25">
    <w:abstractNumId w:val="15"/>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276"/>
    <w:rsid w:val="000C3361"/>
    <w:rsid w:val="00105BE3"/>
    <w:rsid w:val="001121B4"/>
    <w:rsid w:val="001406A3"/>
    <w:rsid w:val="00153B24"/>
    <w:rsid w:val="0018794B"/>
    <w:rsid w:val="001A53F0"/>
    <w:rsid w:val="002128E1"/>
    <w:rsid w:val="00284930"/>
    <w:rsid w:val="00290DBF"/>
    <w:rsid w:val="002930BD"/>
    <w:rsid w:val="00293E59"/>
    <w:rsid w:val="003711F8"/>
    <w:rsid w:val="003845B4"/>
    <w:rsid w:val="003B6211"/>
    <w:rsid w:val="00404F51"/>
    <w:rsid w:val="004254D3"/>
    <w:rsid w:val="005174F1"/>
    <w:rsid w:val="00520BCF"/>
    <w:rsid w:val="005B731C"/>
    <w:rsid w:val="00631A9D"/>
    <w:rsid w:val="00660509"/>
    <w:rsid w:val="00662B99"/>
    <w:rsid w:val="006C1A81"/>
    <w:rsid w:val="00705AB8"/>
    <w:rsid w:val="00760EA8"/>
    <w:rsid w:val="007B6F28"/>
    <w:rsid w:val="00861F83"/>
    <w:rsid w:val="008E30F7"/>
    <w:rsid w:val="00934EE9"/>
    <w:rsid w:val="00974E54"/>
    <w:rsid w:val="009A204D"/>
    <w:rsid w:val="009A7189"/>
    <w:rsid w:val="00A24279"/>
    <w:rsid w:val="00A609AB"/>
    <w:rsid w:val="00A85D86"/>
    <w:rsid w:val="00B12F4B"/>
    <w:rsid w:val="00B46617"/>
    <w:rsid w:val="00B573BB"/>
    <w:rsid w:val="00B82F56"/>
    <w:rsid w:val="00BC501D"/>
    <w:rsid w:val="00C15715"/>
    <w:rsid w:val="00C51391"/>
    <w:rsid w:val="00C87757"/>
    <w:rsid w:val="00CA0A68"/>
    <w:rsid w:val="00CC5D0A"/>
    <w:rsid w:val="00D52B34"/>
    <w:rsid w:val="00D87276"/>
    <w:rsid w:val="00DB518D"/>
    <w:rsid w:val="00E47B85"/>
    <w:rsid w:val="00E816BF"/>
    <w:rsid w:val="00E866DC"/>
    <w:rsid w:val="00EB5652"/>
    <w:rsid w:val="00EE00C3"/>
    <w:rsid w:val="00F1046D"/>
    <w:rsid w:val="00F91A09"/>
    <w:rsid w:val="00F97B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CF46F8C"/>
  <w15:chartTrackingRefBased/>
  <w15:docId w15:val="{9C4C79B4-E12D-4442-B3F9-7CB4A5F8A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276"/>
    <w:rPr>
      <w:sz w:val="24"/>
    </w:rPr>
  </w:style>
  <w:style w:type="paragraph" w:styleId="Heading1">
    <w:name w:val="heading 1"/>
    <w:basedOn w:val="Normal"/>
    <w:next w:val="Normal"/>
    <w:link w:val="Heading1Char"/>
    <w:uiPriority w:val="9"/>
    <w:qFormat/>
    <w:rsid w:val="00D87276"/>
    <w:pPr>
      <w:keepNext/>
      <w:keepLines/>
      <w:numPr>
        <w:numId w:val="1"/>
      </w:numPr>
      <w:tabs>
        <w:tab w:val="left" w:pos="2694"/>
      </w:tabs>
      <w:spacing w:before="120" w:after="120" w:line="240" w:lineRule="auto"/>
      <w:outlineLvl w:val="0"/>
    </w:pPr>
    <w:rPr>
      <w:rFonts w:ascii="Times New Roman" w:eastAsia="Times New Roman" w:hAnsi="Times New Roman" w:cs="Times New Roman"/>
      <w:b/>
      <w:sz w:val="28"/>
      <w:szCs w:val="32"/>
      <w:lang w:eastAsia="lv-LV"/>
    </w:rPr>
  </w:style>
  <w:style w:type="paragraph" w:styleId="Heading2">
    <w:name w:val="heading 2"/>
    <w:basedOn w:val="Normal"/>
    <w:next w:val="Normal"/>
    <w:link w:val="Heading2Char"/>
    <w:uiPriority w:val="9"/>
    <w:unhideWhenUsed/>
    <w:qFormat/>
    <w:rsid w:val="00D87276"/>
    <w:pPr>
      <w:keepNext/>
      <w:keepLines/>
      <w:numPr>
        <w:ilvl w:val="1"/>
        <w:numId w:val="1"/>
      </w:numPr>
      <w:spacing w:before="120" w:after="120" w:line="240" w:lineRule="auto"/>
      <w:jc w:val="both"/>
      <w:outlineLvl w:val="1"/>
    </w:pPr>
    <w:rPr>
      <w:rFonts w:ascii="Times New Roman" w:eastAsiaTheme="majorEastAsia" w:hAnsi="Times New Roman" w:cs="Times New Roman"/>
      <w:b/>
      <w:sz w:val="26"/>
      <w:szCs w:val="26"/>
    </w:rPr>
  </w:style>
  <w:style w:type="paragraph" w:styleId="Heading3">
    <w:name w:val="heading 3"/>
    <w:basedOn w:val="Normal"/>
    <w:next w:val="Normal"/>
    <w:link w:val="Heading3Char"/>
    <w:uiPriority w:val="9"/>
    <w:unhideWhenUsed/>
    <w:qFormat/>
    <w:rsid w:val="00D87276"/>
    <w:pPr>
      <w:keepNext/>
      <w:keepLines/>
      <w:numPr>
        <w:ilvl w:val="2"/>
        <w:numId w:val="1"/>
      </w:numPr>
      <w:spacing w:before="120" w:after="120" w:line="240" w:lineRule="auto"/>
      <w:jc w:val="both"/>
      <w:outlineLvl w:val="2"/>
    </w:pPr>
    <w:rPr>
      <w:rFonts w:ascii="Times New Roman" w:eastAsiaTheme="majorEastAsia" w:hAnsi="Times New Roman" w:cs="Times New Roman"/>
      <w:szCs w:val="24"/>
      <w:u w:val="single"/>
      <w:lang w:eastAsia="lv-LV"/>
    </w:rPr>
  </w:style>
  <w:style w:type="paragraph" w:styleId="Heading4">
    <w:name w:val="heading 4"/>
    <w:basedOn w:val="Normal"/>
    <w:next w:val="Normal"/>
    <w:link w:val="Heading4Char"/>
    <w:uiPriority w:val="9"/>
    <w:unhideWhenUsed/>
    <w:qFormat/>
    <w:rsid w:val="00D87276"/>
    <w:pPr>
      <w:keepNext/>
      <w:keepLines/>
      <w:numPr>
        <w:ilvl w:val="3"/>
        <w:numId w:val="1"/>
      </w:numPr>
      <w:tabs>
        <w:tab w:val="left" w:pos="993"/>
      </w:tabs>
      <w:spacing w:before="120" w:after="120" w:line="240" w:lineRule="auto"/>
      <w:ind w:left="907" w:hanging="567"/>
      <w:outlineLvl w:val="3"/>
    </w:pPr>
    <w:rPr>
      <w:rFonts w:eastAsiaTheme="majorEastAsia" w:cstheme="minorHAnsi"/>
      <w:i/>
      <w:iCs/>
      <w:szCs w:val="24"/>
    </w:rPr>
  </w:style>
  <w:style w:type="paragraph" w:styleId="Heading5">
    <w:name w:val="heading 5"/>
    <w:basedOn w:val="Normal"/>
    <w:next w:val="Normal"/>
    <w:link w:val="Heading5Char"/>
    <w:uiPriority w:val="9"/>
    <w:unhideWhenUsed/>
    <w:qFormat/>
    <w:rsid w:val="00D8727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276"/>
    <w:rPr>
      <w:rFonts w:ascii="Times New Roman" w:eastAsia="Times New Roman" w:hAnsi="Times New Roman" w:cs="Times New Roman"/>
      <w:b/>
      <w:sz w:val="28"/>
      <w:szCs w:val="32"/>
      <w:lang w:eastAsia="lv-LV"/>
    </w:rPr>
  </w:style>
  <w:style w:type="character" w:customStyle="1" w:styleId="Heading2Char">
    <w:name w:val="Heading 2 Char"/>
    <w:basedOn w:val="DefaultParagraphFont"/>
    <w:link w:val="Heading2"/>
    <w:uiPriority w:val="9"/>
    <w:rsid w:val="00D87276"/>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rsid w:val="00D87276"/>
    <w:rPr>
      <w:rFonts w:ascii="Times New Roman" w:eastAsiaTheme="majorEastAsia" w:hAnsi="Times New Roman" w:cs="Times New Roman"/>
      <w:sz w:val="24"/>
      <w:szCs w:val="24"/>
      <w:u w:val="single"/>
      <w:lang w:eastAsia="lv-LV"/>
    </w:rPr>
  </w:style>
  <w:style w:type="character" w:customStyle="1" w:styleId="Heading4Char">
    <w:name w:val="Heading 4 Char"/>
    <w:basedOn w:val="DefaultParagraphFont"/>
    <w:link w:val="Heading4"/>
    <w:uiPriority w:val="9"/>
    <w:rsid w:val="00D87276"/>
    <w:rPr>
      <w:rFonts w:eastAsiaTheme="majorEastAsia" w:cstheme="minorHAnsi"/>
      <w:i/>
      <w:iCs/>
      <w:sz w:val="24"/>
      <w:szCs w:val="24"/>
    </w:rPr>
  </w:style>
  <w:style w:type="character" w:customStyle="1" w:styleId="Heading5Char">
    <w:name w:val="Heading 5 Char"/>
    <w:basedOn w:val="DefaultParagraphFont"/>
    <w:link w:val="Heading5"/>
    <w:uiPriority w:val="9"/>
    <w:rsid w:val="00D87276"/>
    <w:rPr>
      <w:rFonts w:asciiTheme="majorHAnsi" w:eastAsiaTheme="majorEastAsia" w:hAnsiTheme="majorHAnsi" w:cstheme="majorBidi"/>
      <w:color w:val="2F5496" w:themeColor="accent1" w:themeShade="BF"/>
      <w:sz w:val="24"/>
    </w:rPr>
  </w:style>
  <w:style w:type="character" w:customStyle="1" w:styleId="normaltextrun">
    <w:name w:val="normaltextrun"/>
    <w:basedOn w:val="DefaultParagraphFont"/>
    <w:rsid w:val="00D87276"/>
  </w:style>
  <w:style w:type="character" w:customStyle="1" w:styleId="eop">
    <w:name w:val="eop"/>
    <w:basedOn w:val="DefaultParagraphFont"/>
    <w:rsid w:val="00D87276"/>
  </w:style>
  <w:style w:type="character" w:customStyle="1" w:styleId="spellingerror">
    <w:name w:val="spellingerror"/>
    <w:basedOn w:val="DefaultParagraphFont"/>
    <w:rsid w:val="00D87276"/>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D87276"/>
    <w:pPr>
      <w:spacing w:after="0" w:line="240" w:lineRule="auto"/>
    </w:pPr>
    <w:rPr>
      <w:rFonts w:ascii="Times New Roman" w:hAnsi="Times New Roman"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D87276"/>
    <w:rPr>
      <w:rFonts w:ascii="Times New Roman" w:hAnsi="Times New Roman"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D87276"/>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87276"/>
    <w:pPr>
      <w:spacing w:line="240" w:lineRule="exact"/>
      <w:jc w:val="both"/>
    </w:pPr>
    <w:rPr>
      <w:sz w:val="22"/>
      <w:vertAlign w:val="superscript"/>
    </w:rPr>
  </w:style>
  <w:style w:type="paragraph" w:customStyle="1" w:styleId="Default">
    <w:name w:val="Default"/>
    <w:link w:val="DefaultChar"/>
    <w:rsid w:val="00D87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D87276"/>
    <w:rPr>
      <w:rFonts w:ascii="Times New Roman" w:hAnsi="Times New Roman" w:cs="Times New Roman"/>
      <w:color w:val="000000"/>
      <w:sz w:val="24"/>
      <w:szCs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D87276"/>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87276"/>
    <w:rPr>
      <w:sz w:val="24"/>
    </w:rPr>
  </w:style>
  <w:style w:type="table" w:styleId="TableGrid">
    <w:name w:val="Table Grid"/>
    <w:basedOn w:val="TableNormal"/>
    <w:uiPriority w:val="39"/>
    <w:rsid w:val="00D87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7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7276"/>
    <w:rPr>
      <w:sz w:val="24"/>
    </w:rPr>
  </w:style>
  <w:style w:type="paragraph" w:styleId="Footer">
    <w:name w:val="footer"/>
    <w:basedOn w:val="Normal"/>
    <w:link w:val="FooterChar"/>
    <w:uiPriority w:val="99"/>
    <w:unhideWhenUsed/>
    <w:rsid w:val="00D87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7276"/>
    <w:rPr>
      <w:sz w:val="24"/>
    </w:rPr>
  </w:style>
  <w:style w:type="character" w:styleId="Hyperlink">
    <w:name w:val="Hyperlink"/>
    <w:basedOn w:val="DefaultParagraphFont"/>
    <w:uiPriority w:val="99"/>
    <w:unhideWhenUsed/>
    <w:rsid w:val="00D87276"/>
    <w:rPr>
      <w:color w:val="0563C1" w:themeColor="hyperlink"/>
      <w:u w:val="single"/>
    </w:rPr>
  </w:style>
  <w:style w:type="character" w:customStyle="1" w:styleId="UnresolvedMention1">
    <w:name w:val="Unresolved Mention1"/>
    <w:basedOn w:val="DefaultParagraphFont"/>
    <w:uiPriority w:val="99"/>
    <w:semiHidden/>
    <w:unhideWhenUsed/>
    <w:rsid w:val="00D87276"/>
    <w:rPr>
      <w:color w:val="808080"/>
      <w:shd w:val="clear" w:color="auto" w:fill="E6E6E6"/>
    </w:rPr>
  </w:style>
  <w:style w:type="paragraph" w:customStyle="1" w:styleId="paragraph">
    <w:name w:val="paragraph"/>
    <w:basedOn w:val="Normal"/>
    <w:rsid w:val="00D87276"/>
    <w:pPr>
      <w:spacing w:before="100" w:beforeAutospacing="1" w:after="100" w:afterAutospacing="1" w:line="240" w:lineRule="auto"/>
    </w:pPr>
    <w:rPr>
      <w:rFonts w:ascii="Times New Roman" w:eastAsia="Times New Roman" w:hAnsi="Times New Roman" w:cs="Times New Roman"/>
      <w:szCs w:val="24"/>
      <w:lang w:eastAsia="lv-LV"/>
    </w:rPr>
  </w:style>
  <w:style w:type="paragraph" w:styleId="BlockText">
    <w:name w:val="Block Text"/>
    <w:basedOn w:val="Normal"/>
    <w:unhideWhenUsed/>
    <w:rsid w:val="00D87276"/>
    <w:pPr>
      <w:overflowPunct w:val="0"/>
      <w:autoSpaceDE w:val="0"/>
      <w:autoSpaceDN w:val="0"/>
      <w:adjustRightInd w:val="0"/>
      <w:spacing w:after="240" w:line="240" w:lineRule="auto"/>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D87276"/>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87276"/>
    <w:pPr>
      <w:spacing w:after="100"/>
    </w:pPr>
  </w:style>
  <w:style w:type="paragraph" w:styleId="TOC2">
    <w:name w:val="toc 2"/>
    <w:basedOn w:val="Normal"/>
    <w:next w:val="Normal"/>
    <w:autoRedefine/>
    <w:uiPriority w:val="39"/>
    <w:unhideWhenUsed/>
    <w:rsid w:val="00D87276"/>
    <w:pPr>
      <w:spacing w:after="100"/>
      <w:ind w:left="220"/>
    </w:pPr>
  </w:style>
  <w:style w:type="paragraph" w:styleId="TOC3">
    <w:name w:val="toc 3"/>
    <w:basedOn w:val="Normal"/>
    <w:next w:val="Normal"/>
    <w:autoRedefine/>
    <w:uiPriority w:val="39"/>
    <w:unhideWhenUsed/>
    <w:rsid w:val="00D87276"/>
    <w:pPr>
      <w:tabs>
        <w:tab w:val="left" w:pos="1320"/>
        <w:tab w:val="right" w:leader="dot" w:pos="9016"/>
      </w:tabs>
      <w:spacing w:after="0" w:line="240" w:lineRule="auto"/>
    </w:pPr>
  </w:style>
  <w:style w:type="paragraph" w:customStyle="1" w:styleId="Char2">
    <w:name w:val="Char2"/>
    <w:aliases w:val="Char Char Char Char"/>
    <w:basedOn w:val="Normal"/>
    <w:next w:val="Normal"/>
    <w:uiPriority w:val="99"/>
    <w:rsid w:val="00D87276"/>
    <w:pPr>
      <w:spacing w:line="240" w:lineRule="exact"/>
      <w:jc w:val="both"/>
      <w:textAlignment w:val="baseline"/>
    </w:pPr>
    <w:rPr>
      <w:vertAlign w:val="superscript"/>
    </w:rPr>
  </w:style>
  <w:style w:type="paragraph" w:styleId="NormalWeb">
    <w:name w:val="Normal (Web)"/>
    <w:basedOn w:val="Normal"/>
    <w:uiPriority w:val="99"/>
    <w:unhideWhenUsed/>
    <w:rsid w:val="00D87276"/>
    <w:pPr>
      <w:spacing w:before="100" w:beforeAutospacing="1" w:after="100" w:afterAutospacing="1" w:line="240" w:lineRule="auto"/>
    </w:pPr>
    <w:rPr>
      <w:rFonts w:ascii="Times New Roman" w:eastAsia="Times New Roman" w:hAnsi="Times New Roman" w:cs="Times New Roman"/>
      <w:szCs w:val="24"/>
      <w:lang w:eastAsia="lv-LV"/>
    </w:rPr>
  </w:style>
  <w:style w:type="character" w:styleId="CommentReference">
    <w:name w:val="annotation reference"/>
    <w:basedOn w:val="DefaultParagraphFont"/>
    <w:uiPriority w:val="99"/>
    <w:unhideWhenUsed/>
    <w:rsid w:val="00D87276"/>
    <w:rPr>
      <w:sz w:val="16"/>
      <w:szCs w:val="16"/>
    </w:rPr>
  </w:style>
  <w:style w:type="paragraph" w:styleId="CommentText">
    <w:name w:val="annotation text"/>
    <w:basedOn w:val="Normal"/>
    <w:link w:val="CommentTextChar"/>
    <w:uiPriority w:val="99"/>
    <w:unhideWhenUsed/>
    <w:rsid w:val="00D87276"/>
    <w:pPr>
      <w:spacing w:line="240" w:lineRule="auto"/>
    </w:pPr>
    <w:rPr>
      <w:sz w:val="20"/>
      <w:szCs w:val="20"/>
    </w:rPr>
  </w:style>
  <w:style w:type="character" w:customStyle="1" w:styleId="CommentTextChar">
    <w:name w:val="Comment Text Char"/>
    <w:basedOn w:val="DefaultParagraphFont"/>
    <w:link w:val="CommentText"/>
    <w:uiPriority w:val="99"/>
    <w:rsid w:val="00D87276"/>
    <w:rPr>
      <w:sz w:val="20"/>
      <w:szCs w:val="20"/>
    </w:rPr>
  </w:style>
  <w:style w:type="paragraph" w:styleId="BalloonText">
    <w:name w:val="Balloon Text"/>
    <w:basedOn w:val="Normal"/>
    <w:link w:val="BalloonTextChar"/>
    <w:uiPriority w:val="99"/>
    <w:unhideWhenUsed/>
    <w:rsid w:val="00D872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87276"/>
    <w:rPr>
      <w:rFonts w:ascii="Segoe UI" w:hAnsi="Segoe UI" w:cs="Segoe UI"/>
      <w:sz w:val="18"/>
      <w:szCs w:val="18"/>
    </w:rPr>
  </w:style>
  <w:style w:type="paragraph" w:styleId="Caption">
    <w:name w:val="caption"/>
    <w:aliases w:val="Beschriftung Char"/>
    <w:basedOn w:val="Normal"/>
    <w:next w:val="Normal"/>
    <w:link w:val="CaptionChar"/>
    <w:uiPriority w:val="35"/>
    <w:unhideWhenUsed/>
    <w:qFormat/>
    <w:rsid w:val="00D87276"/>
    <w:pPr>
      <w:keepNext/>
      <w:spacing w:before="120" w:after="120" w:line="240" w:lineRule="auto"/>
      <w:jc w:val="center"/>
    </w:pPr>
    <w:rPr>
      <w:rFonts w:ascii="Times New Roman" w:eastAsiaTheme="majorEastAsia" w:hAnsi="Times New Roman" w:cs="Times New Roman"/>
      <w:b/>
      <w:iCs/>
      <w:sz w:val="20"/>
      <w:szCs w:val="20"/>
    </w:rPr>
  </w:style>
  <w:style w:type="character" w:customStyle="1" w:styleId="st">
    <w:name w:val="st"/>
    <w:rsid w:val="00D87276"/>
  </w:style>
  <w:style w:type="paragraph" w:styleId="TableofFigures">
    <w:name w:val="table of figures"/>
    <w:basedOn w:val="Normal"/>
    <w:next w:val="Normal"/>
    <w:uiPriority w:val="99"/>
    <w:unhideWhenUsed/>
    <w:rsid w:val="00D87276"/>
    <w:pPr>
      <w:spacing w:after="0"/>
    </w:pPr>
  </w:style>
  <w:style w:type="paragraph" w:styleId="TOC4">
    <w:name w:val="toc 4"/>
    <w:basedOn w:val="Normal"/>
    <w:next w:val="Normal"/>
    <w:autoRedefine/>
    <w:uiPriority w:val="39"/>
    <w:unhideWhenUsed/>
    <w:rsid w:val="00D87276"/>
    <w:pPr>
      <w:spacing w:after="100"/>
      <w:ind w:left="660"/>
    </w:pPr>
    <w:rPr>
      <w:rFonts w:eastAsiaTheme="minorEastAsia"/>
      <w:lang w:eastAsia="lv-LV"/>
    </w:rPr>
  </w:style>
  <w:style w:type="paragraph" w:styleId="TOC5">
    <w:name w:val="toc 5"/>
    <w:basedOn w:val="Normal"/>
    <w:next w:val="Normal"/>
    <w:autoRedefine/>
    <w:uiPriority w:val="39"/>
    <w:unhideWhenUsed/>
    <w:rsid w:val="00D87276"/>
    <w:pPr>
      <w:spacing w:after="100"/>
      <w:ind w:left="880"/>
    </w:pPr>
    <w:rPr>
      <w:rFonts w:eastAsiaTheme="minorEastAsia"/>
      <w:lang w:eastAsia="lv-LV"/>
    </w:rPr>
  </w:style>
  <w:style w:type="paragraph" w:styleId="TOC6">
    <w:name w:val="toc 6"/>
    <w:basedOn w:val="Normal"/>
    <w:next w:val="Normal"/>
    <w:autoRedefine/>
    <w:uiPriority w:val="39"/>
    <w:unhideWhenUsed/>
    <w:rsid w:val="00D87276"/>
    <w:pPr>
      <w:spacing w:after="100"/>
      <w:ind w:left="1100"/>
    </w:pPr>
    <w:rPr>
      <w:rFonts w:eastAsiaTheme="minorEastAsia"/>
      <w:lang w:eastAsia="lv-LV"/>
    </w:rPr>
  </w:style>
  <w:style w:type="paragraph" w:styleId="TOC7">
    <w:name w:val="toc 7"/>
    <w:basedOn w:val="Normal"/>
    <w:next w:val="Normal"/>
    <w:autoRedefine/>
    <w:uiPriority w:val="39"/>
    <w:unhideWhenUsed/>
    <w:rsid w:val="00D87276"/>
    <w:pPr>
      <w:spacing w:after="100"/>
      <w:ind w:left="1320"/>
    </w:pPr>
    <w:rPr>
      <w:rFonts w:eastAsiaTheme="minorEastAsia"/>
      <w:lang w:eastAsia="lv-LV"/>
    </w:rPr>
  </w:style>
  <w:style w:type="paragraph" w:styleId="TOC8">
    <w:name w:val="toc 8"/>
    <w:basedOn w:val="Normal"/>
    <w:next w:val="Normal"/>
    <w:autoRedefine/>
    <w:uiPriority w:val="39"/>
    <w:unhideWhenUsed/>
    <w:rsid w:val="00D87276"/>
    <w:pPr>
      <w:spacing w:after="100"/>
      <w:ind w:left="1540"/>
    </w:pPr>
    <w:rPr>
      <w:rFonts w:eastAsiaTheme="minorEastAsia"/>
      <w:lang w:eastAsia="lv-LV"/>
    </w:rPr>
  </w:style>
  <w:style w:type="paragraph" w:styleId="TOC9">
    <w:name w:val="toc 9"/>
    <w:basedOn w:val="Normal"/>
    <w:next w:val="Normal"/>
    <w:autoRedefine/>
    <w:uiPriority w:val="39"/>
    <w:unhideWhenUsed/>
    <w:rsid w:val="00D87276"/>
    <w:pPr>
      <w:spacing w:after="100"/>
      <w:ind w:left="1760"/>
    </w:pPr>
    <w:rPr>
      <w:rFonts w:eastAsiaTheme="minorEastAsia"/>
      <w:lang w:eastAsia="lv-LV"/>
    </w:rPr>
  </w:style>
  <w:style w:type="table" w:customStyle="1" w:styleId="Style1">
    <w:name w:val="Style1"/>
    <w:basedOn w:val="TableNormal"/>
    <w:uiPriority w:val="99"/>
    <w:rsid w:val="00D87276"/>
    <w:pPr>
      <w:spacing w:after="0" w:line="240" w:lineRule="auto"/>
    </w:pPr>
    <w:tblPr/>
  </w:style>
  <w:style w:type="character" w:styleId="FollowedHyperlink">
    <w:name w:val="FollowedHyperlink"/>
    <w:basedOn w:val="DefaultParagraphFont"/>
    <w:uiPriority w:val="99"/>
    <w:semiHidden/>
    <w:unhideWhenUsed/>
    <w:rsid w:val="00D87276"/>
    <w:rPr>
      <w:color w:val="954F72" w:themeColor="followedHyperlink"/>
      <w:u w:val="single"/>
    </w:rPr>
  </w:style>
  <w:style w:type="character" w:customStyle="1" w:styleId="mw-headline">
    <w:name w:val="mw-headline"/>
    <w:basedOn w:val="DefaultParagraphFont"/>
    <w:rsid w:val="00D87276"/>
  </w:style>
  <w:style w:type="character" w:customStyle="1" w:styleId="VirsrkastsOtraisRakstz">
    <w:name w:val="Virsrkasts Otrais Rakstz."/>
    <w:basedOn w:val="DefaultParagraphFont"/>
    <w:link w:val="VirsrkastsOtrais"/>
    <w:locked/>
    <w:rsid w:val="00D87276"/>
    <w:rPr>
      <w:rFonts w:ascii="Cambria" w:hAnsi="Cambria"/>
      <w:b/>
      <w:sz w:val="28"/>
      <w:szCs w:val="28"/>
      <w:lang w:val="x-none"/>
    </w:rPr>
  </w:style>
  <w:style w:type="paragraph" w:customStyle="1" w:styleId="VirsrkastsOtrais">
    <w:name w:val="Virsrkasts Otrais"/>
    <w:basedOn w:val="ListParagraph"/>
    <w:link w:val="VirsrkastsOtraisRakstz"/>
    <w:qFormat/>
    <w:rsid w:val="00D87276"/>
    <w:pPr>
      <w:numPr>
        <w:ilvl w:val="1"/>
        <w:numId w:val="2"/>
      </w:numPr>
      <w:spacing w:after="0" w:line="240" w:lineRule="auto"/>
    </w:pPr>
    <w:rPr>
      <w:rFonts w:ascii="Cambria" w:hAnsi="Cambria"/>
      <w:b/>
      <w:sz w:val="28"/>
      <w:szCs w:val="28"/>
      <w:lang w:val="x-none"/>
    </w:rPr>
  </w:style>
  <w:style w:type="paragraph" w:styleId="CommentSubject">
    <w:name w:val="annotation subject"/>
    <w:basedOn w:val="CommentText"/>
    <w:next w:val="CommentText"/>
    <w:link w:val="CommentSubjectChar"/>
    <w:uiPriority w:val="99"/>
    <w:semiHidden/>
    <w:unhideWhenUsed/>
    <w:rsid w:val="00D87276"/>
    <w:rPr>
      <w:b/>
      <w:bCs/>
    </w:rPr>
  </w:style>
  <w:style w:type="character" w:customStyle="1" w:styleId="CommentSubjectChar">
    <w:name w:val="Comment Subject Char"/>
    <w:basedOn w:val="CommentTextChar"/>
    <w:link w:val="CommentSubject"/>
    <w:uiPriority w:val="99"/>
    <w:semiHidden/>
    <w:rsid w:val="00D87276"/>
    <w:rPr>
      <w:b/>
      <w:bCs/>
      <w:sz w:val="20"/>
      <w:szCs w:val="20"/>
    </w:rPr>
  </w:style>
  <w:style w:type="paragraph" w:styleId="BodyText2">
    <w:name w:val="Body Text 2"/>
    <w:basedOn w:val="Normal"/>
    <w:link w:val="BodyText2Char"/>
    <w:uiPriority w:val="99"/>
    <w:semiHidden/>
    <w:unhideWhenUsed/>
    <w:rsid w:val="00D87276"/>
    <w:pPr>
      <w:spacing w:after="120" w:line="480" w:lineRule="auto"/>
      <w:ind w:firstLine="720"/>
      <w:jc w:val="both"/>
    </w:pPr>
    <w:rPr>
      <w:rFonts w:ascii="Times New Roman" w:hAnsi="Times New Roman"/>
      <w:sz w:val="28"/>
    </w:rPr>
  </w:style>
  <w:style w:type="character" w:customStyle="1" w:styleId="BodyText2Char">
    <w:name w:val="Body Text 2 Char"/>
    <w:basedOn w:val="DefaultParagraphFont"/>
    <w:link w:val="BodyText2"/>
    <w:uiPriority w:val="99"/>
    <w:semiHidden/>
    <w:rsid w:val="00D87276"/>
    <w:rPr>
      <w:rFonts w:ascii="Times New Roman" w:hAnsi="Times New Roman"/>
      <w:sz w:val="28"/>
    </w:rPr>
  </w:style>
  <w:style w:type="character" w:styleId="Emphasis">
    <w:name w:val="Emphasis"/>
    <w:qFormat/>
    <w:rsid w:val="00D87276"/>
    <w:rPr>
      <w:i/>
      <w:iCs/>
    </w:rPr>
  </w:style>
  <w:style w:type="character" w:customStyle="1" w:styleId="standard-description">
    <w:name w:val="standard-description"/>
    <w:basedOn w:val="DefaultParagraphFont"/>
    <w:rsid w:val="00D87276"/>
  </w:style>
  <w:style w:type="character" w:styleId="Strong">
    <w:name w:val="Strong"/>
    <w:basedOn w:val="DefaultParagraphFont"/>
    <w:uiPriority w:val="22"/>
    <w:qFormat/>
    <w:rsid w:val="00D87276"/>
    <w:rPr>
      <w:b/>
      <w:bCs/>
    </w:rPr>
  </w:style>
  <w:style w:type="paragraph" w:styleId="BodyText">
    <w:name w:val="Body Text"/>
    <w:basedOn w:val="Normal"/>
    <w:link w:val="BodyTextChar"/>
    <w:uiPriority w:val="99"/>
    <w:unhideWhenUsed/>
    <w:rsid w:val="00D87276"/>
    <w:pPr>
      <w:spacing w:after="120"/>
    </w:pPr>
  </w:style>
  <w:style w:type="character" w:customStyle="1" w:styleId="BodyTextChar">
    <w:name w:val="Body Text Char"/>
    <w:basedOn w:val="DefaultParagraphFont"/>
    <w:link w:val="BodyText"/>
    <w:uiPriority w:val="99"/>
    <w:rsid w:val="00D87276"/>
    <w:rPr>
      <w:sz w:val="24"/>
    </w:rPr>
  </w:style>
  <w:style w:type="paragraph" w:styleId="NoSpacing">
    <w:name w:val="No Spacing"/>
    <w:uiPriority w:val="1"/>
    <w:qFormat/>
    <w:rsid w:val="00D87276"/>
    <w:pPr>
      <w:spacing w:after="0" w:line="240" w:lineRule="auto"/>
    </w:pPr>
    <w:rPr>
      <w:rFonts w:ascii="Times New Roman" w:eastAsia="Calibri" w:hAnsi="Times New Roman" w:cs="Times New Roman"/>
      <w:sz w:val="24"/>
    </w:rPr>
  </w:style>
  <w:style w:type="paragraph" w:customStyle="1" w:styleId="Pamatteksts1">
    <w:name w:val="Pamatteksts1"/>
    <w:basedOn w:val="NoSpacing"/>
    <w:qFormat/>
    <w:rsid w:val="00D87276"/>
    <w:pPr>
      <w:spacing w:after="120" w:line="276" w:lineRule="auto"/>
      <w:ind w:firstLine="720"/>
      <w:jc w:val="both"/>
    </w:pPr>
    <w:rPr>
      <w:rFonts w:eastAsiaTheme="minorHAnsi" w:cstheme="minorBidi"/>
    </w:rPr>
  </w:style>
  <w:style w:type="character" w:customStyle="1" w:styleId="A11">
    <w:name w:val="A1+1"/>
    <w:uiPriority w:val="99"/>
    <w:rsid w:val="00D87276"/>
    <w:rPr>
      <w:color w:val="000000"/>
      <w:sz w:val="16"/>
      <w:szCs w:val="16"/>
    </w:rPr>
  </w:style>
  <w:style w:type="character" w:customStyle="1" w:styleId="CaptionChar">
    <w:name w:val="Caption Char"/>
    <w:aliases w:val="Beschriftung Char Char"/>
    <w:link w:val="Caption"/>
    <w:uiPriority w:val="35"/>
    <w:rsid w:val="00D87276"/>
    <w:rPr>
      <w:rFonts w:ascii="Times New Roman" w:eastAsiaTheme="majorEastAsia" w:hAnsi="Times New Roman" w:cs="Times New Roman"/>
      <w:b/>
      <w:iCs/>
      <w:sz w:val="20"/>
      <w:szCs w:val="20"/>
    </w:rPr>
  </w:style>
  <w:style w:type="paragraph" w:customStyle="1" w:styleId="tv213">
    <w:name w:val="tv213"/>
    <w:basedOn w:val="Normal"/>
    <w:rsid w:val="00D87276"/>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kr">
    <w:name w:val="naiskr"/>
    <w:basedOn w:val="Normal"/>
    <w:uiPriority w:val="99"/>
    <w:rsid w:val="00D87276"/>
    <w:pPr>
      <w:spacing w:before="75" w:after="75" w:line="240" w:lineRule="auto"/>
    </w:pPr>
    <w:rPr>
      <w:rFonts w:ascii="Times New Roman" w:eastAsia="Times New Roman" w:hAnsi="Times New Roman" w:cs="Times New Roman"/>
      <w:szCs w:val="24"/>
      <w:lang w:eastAsia="lv-LV"/>
    </w:rPr>
  </w:style>
  <w:style w:type="paragraph" w:customStyle="1" w:styleId="li">
    <w:name w:val="li"/>
    <w:basedOn w:val="Normal"/>
    <w:rsid w:val="00D87276"/>
    <w:pPr>
      <w:spacing w:before="100" w:beforeAutospacing="1" w:after="100" w:afterAutospacing="1" w:line="240" w:lineRule="auto"/>
    </w:pPr>
    <w:rPr>
      <w:rFonts w:ascii="Calibri" w:hAnsi="Calibri" w:cs="Calibri"/>
      <w:sz w:val="22"/>
      <w:lang w:eastAsia="lv-LV"/>
    </w:rPr>
  </w:style>
  <w:style w:type="paragraph" w:customStyle="1" w:styleId="programme">
    <w:name w:val="programme"/>
    <w:basedOn w:val="Normal"/>
    <w:rsid w:val="00D87276"/>
    <w:pPr>
      <w:spacing w:before="100" w:beforeAutospacing="1" w:after="100" w:afterAutospacing="1" w:line="240" w:lineRule="auto"/>
    </w:pPr>
    <w:rPr>
      <w:rFonts w:ascii="Calibri" w:hAnsi="Calibri" w:cs="Calibri"/>
      <w:sz w:val="22"/>
      <w:lang w:eastAsia="lv-LV"/>
    </w:rPr>
  </w:style>
  <w:style w:type="character" w:customStyle="1" w:styleId="num">
    <w:name w:val="num"/>
    <w:basedOn w:val="DefaultParagraphFont"/>
    <w:rsid w:val="00D87276"/>
  </w:style>
  <w:style w:type="paragraph" w:customStyle="1" w:styleId="Pa1">
    <w:name w:val="Pa1"/>
    <w:basedOn w:val="Default"/>
    <w:next w:val="Default"/>
    <w:uiPriority w:val="99"/>
    <w:rsid w:val="00D87276"/>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D87276"/>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D87276"/>
    <w:pPr>
      <w:spacing w:line="211" w:lineRule="atLeast"/>
    </w:pPr>
    <w:rPr>
      <w:rFonts w:ascii="EC Square Sans Pro" w:hAnsi="EC Square Sans Pro" w:cstheme="minorBidi"/>
      <w:color w:val="auto"/>
    </w:rPr>
  </w:style>
  <w:style w:type="paragraph" w:customStyle="1" w:styleId="Normal1">
    <w:name w:val="Normal1"/>
    <w:basedOn w:val="Normal"/>
    <w:rsid w:val="00D87276"/>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default0">
    <w:name w:val="default"/>
    <w:basedOn w:val="Normal"/>
    <w:rsid w:val="00D87276"/>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psparagraphtitle">
    <w:name w:val="psparagraphtitle"/>
    <w:basedOn w:val="Normal"/>
    <w:rsid w:val="00D87276"/>
    <w:pPr>
      <w:spacing w:before="100" w:beforeAutospacing="1" w:after="100" w:afterAutospacing="1" w:line="240" w:lineRule="auto"/>
    </w:pPr>
    <w:rPr>
      <w:rFonts w:ascii="Times New Roman" w:eastAsia="Times New Roman" w:hAnsi="Times New Roman" w:cs="Times New Roman"/>
      <w:szCs w:val="24"/>
      <w:lang w:eastAsia="lv-LV"/>
    </w:rPr>
  </w:style>
  <w:style w:type="character" w:customStyle="1" w:styleId="tab">
    <w:name w:val="tab"/>
    <w:basedOn w:val="DefaultParagraphFont"/>
    <w:rsid w:val="00D87276"/>
  </w:style>
  <w:style w:type="paragraph" w:styleId="Revision">
    <w:name w:val="Revision"/>
    <w:hidden/>
    <w:uiPriority w:val="99"/>
    <w:semiHidden/>
    <w:rsid w:val="00D87276"/>
    <w:pPr>
      <w:spacing w:after="0" w:line="240" w:lineRule="auto"/>
    </w:pPr>
    <w:rPr>
      <w:sz w:val="24"/>
    </w:rPr>
  </w:style>
  <w:style w:type="character" w:customStyle="1" w:styleId="fontsize2">
    <w:name w:val="fontsize2"/>
    <w:basedOn w:val="DefaultParagraphFont"/>
    <w:rsid w:val="00D87276"/>
  </w:style>
  <w:style w:type="paragraph" w:customStyle="1" w:styleId="article-lead">
    <w:name w:val="article-lead"/>
    <w:basedOn w:val="Normal"/>
    <w:rsid w:val="00D87276"/>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pant">
    <w:name w:val="naispant"/>
    <w:basedOn w:val="Normal"/>
    <w:uiPriority w:val="99"/>
    <w:rsid w:val="00D87276"/>
    <w:pPr>
      <w:spacing w:before="75" w:after="75" w:line="240" w:lineRule="auto"/>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D87276"/>
    <w:pPr>
      <w:spacing w:before="75" w:after="75" w:line="240" w:lineRule="auto"/>
      <w:jc w:val="center"/>
    </w:pPr>
    <w:rPr>
      <w:rFonts w:ascii="Times New Roman" w:eastAsia="Times New Roman" w:hAnsi="Times New Roman" w:cs="Times New Roman"/>
      <w:szCs w:val="24"/>
      <w:lang w:eastAsia="lv-LV"/>
    </w:rPr>
  </w:style>
  <w:style w:type="table" w:styleId="GridTable5Dark-Accent4">
    <w:name w:val="Grid Table 5 Dark Accent 4"/>
    <w:basedOn w:val="TableNormal"/>
    <w:uiPriority w:val="50"/>
    <w:rsid w:val="00D87276"/>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fontstyle01">
    <w:name w:val="fontstyle01"/>
    <w:basedOn w:val="DefaultParagraphFont"/>
    <w:rsid w:val="00D87276"/>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D87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87276"/>
    <w:pPr>
      <w:spacing w:after="0" w:line="240" w:lineRule="auto"/>
    </w:pPr>
    <w:rPr>
      <w:rFonts w:ascii="Calibri" w:eastAsia="Calibri" w:hAnsi="Calibri" w:cs="Times New Roman"/>
      <w:lang w:eastAsia="lv-LV" w:bidi="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872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87276"/>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D87276"/>
    <w:rPr>
      <w:vertAlign w:val="superscript"/>
    </w:rPr>
  </w:style>
  <w:style w:type="character" w:customStyle="1" w:styleId="FootnoteAnchor">
    <w:name w:val="Footnote Anchor"/>
    <w:rsid w:val="00D87276"/>
    <w:rPr>
      <w:vertAlign w:val="superscript"/>
    </w:rPr>
  </w:style>
  <w:style w:type="character" w:styleId="Mention">
    <w:name w:val="Mention"/>
    <w:basedOn w:val="DefaultParagraphFont"/>
    <w:uiPriority w:val="99"/>
    <w:semiHidden/>
    <w:unhideWhenUsed/>
    <w:rsid w:val="00D87276"/>
    <w:rPr>
      <w:color w:val="2B579A"/>
      <w:shd w:val="clear" w:color="auto" w:fill="E6E6E6"/>
    </w:rPr>
  </w:style>
  <w:style w:type="character" w:styleId="UnresolvedMention">
    <w:name w:val="Unresolved Mention"/>
    <w:basedOn w:val="DefaultParagraphFont"/>
    <w:uiPriority w:val="99"/>
    <w:semiHidden/>
    <w:unhideWhenUsed/>
    <w:rsid w:val="00D87276"/>
    <w:rPr>
      <w:color w:val="808080"/>
      <w:shd w:val="clear" w:color="auto" w:fill="E6E6E6"/>
    </w:rPr>
  </w:style>
  <w:style w:type="paragraph" w:customStyle="1" w:styleId="Standard">
    <w:name w:val="Standard"/>
    <w:rsid w:val="00D87276"/>
    <w:pPr>
      <w:suppressAutoHyphens/>
      <w:autoSpaceDN w:val="0"/>
      <w:spacing w:after="0" w:line="240" w:lineRule="auto"/>
    </w:pPr>
    <w:rPr>
      <w:rFonts w:ascii="Times New Roman" w:eastAsia="SimSun" w:hAnsi="Times New Roman" w:cs="Times New Roman"/>
      <w:color w:val="000000"/>
      <w:kern w:val="3"/>
      <w:sz w:val="24"/>
      <w:szCs w:val="24"/>
    </w:rPr>
  </w:style>
  <w:style w:type="character" w:customStyle="1" w:styleId="Heading2Char0">
    <w:name w:val="Heading2 Char"/>
    <w:basedOn w:val="DefaultParagraphFont"/>
    <w:link w:val="Heading20"/>
    <w:locked/>
    <w:rsid w:val="00D87276"/>
    <w:rPr>
      <w:rFonts w:eastAsiaTheme="majorEastAsia" w:cstheme="minorHAnsi"/>
      <w:b/>
      <w:sz w:val="26"/>
      <w:szCs w:val="26"/>
    </w:rPr>
  </w:style>
  <w:style w:type="paragraph" w:customStyle="1" w:styleId="Heading20">
    <w:name w:val="Heading2"/>
    <w:basedOn w:val="Heading2"/>
    <w:link w:val="Heading2Char0"/>
    <w:qFormat/>
    <w:rsid w:val="00D87276"/>
    <w:pPr>
      <w:ind w:left="454" w:hanging="454"/>
    </w:pPr>
    <w:rPr>
      <w:rFonts w:asciiTheme="minorHAnsi" w:hAnsiTheme="minorHAnsi" w:cstheme="minorHAnsi"/>
    </w:rPr>
  </w:style>
  <w:style w:type="character" w:customStyle="1" w:styleId="Heading3Char0">
    <w:name w:val="Heading3 Char"/>
    <w:basedOn w:val="Heading2Char0"/>
    <w:link w:val="Heading30"/>
    <w:locked/>
    <w:rsid w:val="00D87276"/>
    <w:rPr>
      <w:rFonts w:eastAsiaTheme="majorEastAsia" w:cstheme="minorHAnsi"/>
      <w:b w:val="0"/>
      <w:sz w:val="24"/>
      <w:szCs w:val="24"/>
      <w:u w:val="single"/>
      <w:lang w:eastAsia="lv-LV"/>
    </w:rPr>
  </w:style>
  <w:style w:type="paragraph" w:customStyle="1" w:styleId="Heading30">
    <w:name w:val="Heading3"/>
    <w:basedOn w:val="Heading3"/>
    <w:link w:val="Heading3Char0"/>
    <w:qFormat/>
    <w:rsid w:val="00D87276"/>
    <w:pPr>
      <w:ind w:left="680" w:hanging="680"/>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211316">
      <w:bodyDiv w:val="1"/>
      <w:marLeft w:val="0"/>
      <w:marRight w:val="0"/>
      <w:marTop w:val="0"/>
      <w:marBottom w:val="0"/>
      <w:divBdr>
        <w:top w:val="none" w:sz="0" w:space="0" w:color="auto"/>
        <w:left w:val="none" w:sz="0" w:space="0" w:color="auto"/>
        <w:bottom w:val="none" w:sz="0" w:space="0" w:color="auto"/>
        <w:right w:val="none" w:sz="0" w:space="0" w:color="auto"/>
      </w:divBdr>
    </w:div>
    <w:div w:id="548148167">
      <w:bodyDiv w:val="1"/>
      <w:marLeft w:val="0"/>
      <w:marRight w:val="0"/>
      <w:marTop w:val="0"/>
      <w:marBottom w:val="0"/>
      <w:divBdr>
        <w:top w:val="none" w:sz="0" w:space="0" w:color="auto"/>
        <w:left w:val="none" w:sz="0" w:space="0" w:color="auto"/>
        <w:bottom w:val="none" w:sz="0" w:space="0" w:color="auto"/>
        <w:right w:val="none" w:sz="0" w:space="0" w:color="auto"/>
      </w:divBdr>
    </w:div>
    <w:div w:id="587424550">
      <w:bodyDiv w:val="1"/>
      <w:marLeft w:val="0"/>
      <w:marRight w:val="0"/>
      <w:marTop w:val="0"/>
      <w:marBottom w:val="0"/>
      <w:divBdr>
        <w:top w:val="none" w:sz="0" w:space="0" w:color="auto"/>
        <w:left w:val="none" w:sz="0" w:space="0" w:color="auto"/>
        <w:bottom w:val="none" w:sz="0" w:space="0" w:color="auto"/>
        <w:right w:val="none" w:sz="0" w:space="0" w:color="auto"/>
      </w:divBdr>
    </w:div>
    <w:div w:id="1453405251">
      <w:bodyDiv w:val="1"/>
      <w:marLeft w:val="0"/>
      <w:marRight w:val="0"/>
      <w:marTop w:val="0"/>
      <w:marBottom w:val="0"/>
      <w:divBdr>
        <w:top w:val="none" w:sz="0" w:space="0" w:color="auto"/>
        <w:left w:val="none" w:sz="0" w:space="0" w:color="auto"/>
        <w:bottom w:val="none" w:sz="0" w:space="0" w:color="auto"/>
        <w:right w:val="none" w:sz="0" w:space="0" w:color="auto"/>
      </w:divBdr>
    </w:div>
    <w:div w:id="1555501598">
      <w:bodyDiv w:val="1"/>
      <w:marLeft w:val="0"/>
      <w:marRight w:val="0"/>
      <w:marTop w:val="0"/>
      <w:marBottom w:val="0"/>
      <w:divBdr>
        <w:top w:val="none" w:sz="0" w:space="0" w:color="auto"/>
        <w:left w:val="none" w:sz="0" w:space="0" w:color="auto"/>
        <w:bottom w:val="none" w:sz="0" w:space="0" w:color="auto"/>
        <w:right w:val="none" w:sz="0" w:space="0" w:color="auto"/>
      </w:divBdr>
    </w:div>
    <w:div w:id="1762291768">
      <w:bodyDiv w:val="1"/>
      <w:marLeft w:val="0"/>
      <w:marRight w:val="0"/>
      <w:marTop w:val="0"/>
      <w:marBottom w:val="0"/>
      <w:divBdr>
        <w:top w:val="none" w:sz="0" w:space="0" w:color="auto"/>
        <w:left w:val="none" w:sz="0" w:space="0" w:color="auto"/>
        <w:bottom w:val="none" w:sz="0" w:space="0" w:color="auto"/>
        <w:right w:val="none" w:sz="0" w:space="0" w:color="auto"/>
      </w:divBdr>
    </w:div>
    <w:div w:id="190031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diagramLayout" Target="diagrams/layout1.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diagramData" Target="diagrams/data1.xml"/><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4.png"/><Relationship Id="rId37" Type="http://schemas.microsoft.com/office/2007/relationships/diagramDrawing" Target="diagrams/drawing1.xml"/><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diagramColors" Target="diagrams/colors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st.lv/lv/transmission-network-projects/esoso-igaunijas-latvijas-330-kv-starpsavienojumu-parbuve" TargetMode="External"/><Relationship Id="rId30" Type="http://schemas.openxmlformats.org/officeDocument/2006/relationships/image" Target="media/image22.png"/><Relationship Id="rId35" Type="http://schemas.openxmlformats.org/officeDocument/2006/relationships/diagramQuickStyle" Target="diagrams/quickStyle1.xml"/><Relationship Id="rId43"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ommission/sites/beta-political/files/energy-union-factsheet-latvia_en.pdf" TargetMode="External"/><Relationship Id="rId13" Type="http://schemas.openxmlformats.org/officeDocument/2006/relationships/hyperlink" Target="https://ec.europa.eu/energy/sites/ener/files/documents/quarterly_report_on_european_gas_markets_q4_2017_final_20180323.pdf" TargetMode="External"/><Relationship Id="rId18" Type="http://schemas.openxmlformats.org/officeDocument/2006/relationships/hyperlink" Target="http://polsis.mk.gov.lv/documents/4294" TargetMode="External"/><Relationship Id="rId3" Type="http://schemas.openxmlformats.org/officeDocument/2006/relationships/hyperlink" Target="https://ec.europa.eu/energy/sites/ener/files/documents/dir_2009_0028_action_plan_latvia.zip" TargetMode="External"/><Relationship Id="rId7" Type="http://schemas.openxmlformats.org/officeDocument/2006/relationships/hyperlink" Target="http://www.conexus.lv/uploads/filedir/parvades_operatora_zinojums_2018.pdf" TargetMode="External"/><Relationship Id="rId12" Type="http://schemas.openxmlformats.org/officeDocument/2006/relationships/hyperlink" Target="http://ec.europa.eu/eurostat/data/database" TargetMode="External"/><Relationship Id="rId17" Type="http://schemas.openxmlformats.org/officeDocument/2006/relationships/hyperlink" Target="http://www.vitekc.lv/" TargetMode="External"/><Relationship Id="rId2" Type="http://schemas.openxmlformats.org/officeDocument/2006/relationships/hyperlink" Target="https://cdr.eionet.europa.eu/lv/eu/mmr/art08_proxy/envxta4zg" TargetMode="External"/><Relationship Id="rId16" Type="http://schemas.openxmlformats.org/officeDocument/2006/relationships/hyperlink" Target="https://likumi.lv/ta/id/287272-jaunuznemumu-darbibas-atbalsta-likums" TargetMode="External"/><Relationship Id="rId1" Type="http://schemas.openxmlformats.org/officeDocument/2006/relationships/hyperlink" Target="http://cdr.eionet.europa.eu/lv/eu/mmr/art07_inventory/ghg_inventory/envxk8pma/" TargetMode="External"/><Relationship Id="rId6" Type="http://schemas.openxmlformats.org/officeDocument/2006/relationships/hyperlink" Target="https://www.em.gov.lv/lv/nozares_politika/energoefektivitate_un_siltumapgade/zinojumi_eiropas_komisijai/" TargetMode="External"/><Relationship Id="rId11" Type="http://schemas.openxmlformats.org/officeDocument/2006/relationships/hyperlink" Target="http://www.conexus.lv/uploads/filedir/pso_zinojums_2018.pdf" TargetMode="External"/><Relationship Id="rId5" Type="http://schemas.openxmlformats.org/officeDocument/2006/relationships/hyperlink" Target="https://ec.europa.eu/energy/sites/ener/files/documents/lv_annual_report_2019_lv.zip" TargetMode="External"/><Relationship Id="rId15" Type="http://schemas.openxmlformats.org/officeDocument/2006/relationships/hyperlink" Target="https://www.epo.org/" TargetMode="External"/><Relationship Id="rId10" Type="http://schemas.openxmlformats.org/officeDocument/2006/relationships/hyperlink" Target="https://ec.europa.eu/energy/sites/ener/files/documents/2nd_report_ic_with_neighbouring_countries_b5.pdf" TargetMode="External"/><Relationship Id="rId4" Type="http://schemas.openxmlformats.org/officeDocument/2006/relationships/hyperlink" Target="https://www.em.gov.lv/files/nozares_politika/EMZino_AER_030518.pdf" TargetMode="External"/><Relationship Id="rId9" Type="http://schemas.openxmlformats.org/officeDocument/2006/relationships/hyperlink" Target="https://ec.europa.eu/energy/sites/ener/files/documents/report_of_the_commission_expert_group_on_electricity_interconnection_targets.pdf" TargetMode="External"/><Relationship Id="rId14" Type="http://schemas.openxmlformats.org/officeDocument/2006/relationships/hyperlink" Target="https://www.iub.gov.lv/lv/iubsearch/q/dabasg%C4%81ze/"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4CD3-ECF8-4F9F-B74B-4CCDAAA7968F}" type="doc">
      <dgm:prSet loTypeId="urn:microsoft.com/office/officeart/2005/8/layout/chart3" loCatId="cycle" qsTypeId="urn:microsoft.com/office/officeart/2005/8/quickstyle/simple1" qsCatId="simple" csTypeId="urn:microsoft.com/office/officeart/2005/8/colors/colorful5" csCatId="colorful" phldr="1"/>
      <dgm:spPr/>
    </dgm:pt>
    <dgm:pt modelId="{A3C3F178-6212-4868-B111-2761E88D7D46}">
      <dgm:prSet phldrT="[Text]" custT="1"/>
      <dgm:spPr/>
      <dgm:t>
        <a:bodyPr/>
        <a:lstStyle/>
        <a:p>
          <a:pPr algn="ctr"/>
          <a:r>
            <a:rPr lang="lv-LV" sz="1100">
              <a:solidFill>
                <a:sysClr val="windowText" lastClr="000000"/>
              </a:solidFill>
            </a:rPr>
            <a:t>dabasgāzes tirgus cena</a:t>
          </a:r>
        </a:p>
      </dgm:t>
    </dgm:pt>
    <dgm:pt modelId="{0762894F-D258-4B95-A177-DE74DCF57E18}" type="parTrans" cxnId="{E418E420-7D6B-4A04-97A5-BEFB654F249A}">
      <dgm:prSet/>
      <dgm:spPr/>
      <dgm:t>
        <a:bodyPr/>
        <a:lstStyle/>
        <a:p>
          <a:pPr algn="ctr"/>
          <a:endParaRPr lang="lv-LV" sz="1100">
            <a:solidFill>
              <a:sysClr val="windowText" lastClr="000000"/>
            </a:solidFill>
          </a:endParaRPr>
        </a:p>
      </dgm:t>
    </dgm:pt>
    <dgm:pt modelId="{F1CFBA51-A1E8-4BEE-BECC-A9F72CBD918B}" type="sibTrans" cxnId="{E418E420-7D6B-4A04-97A5-BEFB654F249A}">
      <dgm:prSet/>
      <dgm:spPr/>
      <dgm:t>
        <a:bodyPr/>
        <a:lstStyle/>
        <a:p>
          <a:pPr algn="ctr"/>
          <a:endParaRPr lang="lv-LV" sz="1100">
            <a:solidFill>
              <a:sysClr val="windowText" lastClr="000000"/>
            </a:solidFill>
          </a:endParaRPr>
        </a:p>
      </dgm:t>
    </dgm:pt>
    <dgm:pt modelId="{DBB391B3-449E-4174-B3D2-E2103341FCC6}">
      <dgm:prSet phldrT="[Text]" custT="1"/>
      <dgm:spPr/>
      <dgm:t>
        <a:bodyPr/>
        <a:lstStyle/>
        <a:p>
          <a:pPr algn="ctr"/>
          <a:r>
            <a:rPr lang="lv-LV" sz="1100">
              <a:solidFill>
                <a:sysClr val="windowText" lastClr="000000"/>
              </a:solidFill>
            </a:rPr>
            <a:t>sadales sistēmas pakalpojums (tarifs)</a:t>
          </a:r>
        </a:p>
      </dgm:t>
    </dgm:pt>
    <dgm:pt modelId="{83F32F4C-ADC4-4457-BCF5-0F57E93E6FD3}" type="parTrans" cxnId="{D11CE909-7A8C-41C2-AB46-CAC58308A38A}">
      <dgm:prSet/>
      <dgm:spPr/>
      <dgm:t>
        <a:bodyPr/>
        <a:lstStyle/>
        <a:p>
          <a:pPr algn="ctr"/>
          <a:endParaRPr lang="lv-LV" sz="1100">
            <a:solidFill>
              <a:sysClr val="windowText" lastClr="000000"/>
            </a:solidFill>
          </a:endParaRPr>
        </a:p>
      </dgm:t>
    </dgm:pt>
    <dgm:pt modelId="{5D725C25-7BF2-4B2E-AAE0-171793B26DCE}" type="sibTrans" cxnId="{D11CE909-7A8C-41C2-AB46-CAC58308A38A}">
      <dgm:prSet/>
      <dgm:spPr/>
      <dgm:t>
        <a:bodyPr/>
        <a:lstStyle/>
        <a:p>
          <a:pPr algn="ctr"/>
          <a:endParaRPr lang="lv-LV" sz="1100">
            <a:solidFill>
              <a:sysClr val="windowText" lastClr="000000"/>
            </a:solidFill>
          </a:endParaRPr>
        </a:p>
      </dgm:t>
    </dgm:pt>
    <dgm:pt modelId="{516D55C4-5D01-4768-AA14-2E647598E5CC}">
      <dgm:prSet phldrT="[Text]" custT="1"/>
      <dgm:spPr/>
      <dgm:t>
        <a:bodyPr/>
        <a:lstStyle/>
        <a:p>
          <a:pPr algn="ctr"/>
          <a:r>
            <a:rPr lang="lv-LV" sz="1100">
              <a:solidFill>
                <a:sysClr val="windowText" lastClr="000000"/>
              </a:solidFill>
            </a:rPr>
            <a:t>uzglabāša-nas sistēmas pakalpojums (tarifs)</a:t>
          </a:r>
        </a:p>
      </dgm:t>
    </dgm:pt>
    <dgm:pt modelId="{4EC62071-B851-493A-AD8E-F18A76EBB25B}" type="parTrans" cxnId="{C716CABE-2F63-4064-A3DD-0C14DB3593F7}">
      <dgm:prSet/>
      <dgm:spPr/>
      <dgm:t>
        <a:bodyPr/>
        <a:lstStyle/>
        <a:p>
          <a:pPr algn="ctr"/>
          <a:endParaRPr lang="lv-LV" sz="1100">
            <a:solidFill>
              <a:sysClr val="windowText" lastClr="000000"/>
            </a:solidFill>
          </a:endParaRPr>
        </a:p>
      </dgm:t>
    </dgm:pt>
    <dgm:pt modelId="{8A13B056-C972-4905-B88D-D1A089FCA437}" type="sibTrans" cxnId="{C716CABE-2F63-4064-A3DD-0C14DB3593F7}">
      <dgm:prSet/>
      <dgm:spPr/>
      <dgm:t>
        <a:bodyPr/>
        <a:lstStyle/>
        <a:p>
          <a:pPr algn="ctr"/>
          <a:endParaRPr lang="lv-LV" sz="1100">
            <a:solidFill>
              <a:sysClr val="windowText" lastClr="000000"/>
            </a:solidFill>
          </a:endParaRPr>
        </a:p>
      </dgm:t>
    </dgm:pt>
    <dgm:pt modelId="{DEDA63ED-ADEE-4815-B836-7E2AC0567C35}">
      <dgm:prSet phldrT="[Text]" custT="1"/>
      <dgm:spPr/>
      <dgm:t>
        <a:bodyPr/>
        <a:lstStyle/>
        <a:p>
          <a:pPr algn="ctr"/>
          <a:r>
            <a:rPr lang="lv-LV" sz="1100">
              <a:solidFill>
                <a:sysClr val="windowText" lastClr="000000"/>
              </a:solidFill>
            </a:rPr>
            <a:t>PVN 21%</a:t>
          </a:r>
        </a:p>
      </dgm:t>
    </dgm:pt>
    <dgm:pt modelId="{B11630CE-BE90-43FD-BC5E-2FABAD75ED8F}" type="parTrans" cxnId="{3AA5C011-7337-4E1B-B8EE-D346A2CA16FB}">
      <dgm:prSet/>
      <dgm:spPr/>
      <dgm:t>
        <a:bodyPr/>
        <a:lstStyle/>
        <a:p>
          <a:pPr algn="ctr"/>
          <a:endParaRPr lang="lv-LV" sz="1100">
            <a:solidFill>
              <a:sysClr val="windowText" lastClr="000000"/>
            </a:solidFill>
          </a:endParaRPr>
        </a:p>
      </dgm:t>
    </dgm:pt>
    <dgm:pt modelId="{27D98343-2E26-43E6-BA87-662DD74A1DA7}" type="sibTrans" cxnId="{3AA5C011-7337-4E1B-B8EE-D346A2CA16FB}">
      <dgm:prSet/>
      <dgm:spPr/>
      <dgm:t>
        <a:bodyPr/>
        <a:lstStyle/>
        <a:p>
          <a:pPr algn="ctr"/>
          <a:endParaRPr lang="lv-LV" sz="1100">
            <a:solidFill>
              <a:sysClr val="windowText" lastClr="000000"/>
            </a:solidFill>
          </a:endParaRPr>
        </a:p>
      </dgm:t>
    </dgm:pt>
    <dgm:pt modelId="{76B8EFF8-0574-4FD8-847B-52806845AAA4}">
      <dgm:prSet phldrT="[Text]" custT="1"/>
      <dgm:spPr/>
      <dgm:t>
        <a:bodyPr/>
        <a:lstStyle/>
        <a:p>
          <a:pPr algn="ctr"/>
          <a:r>
            <a:rPr lang="lv-LV" sz="1100">
              <a:solidFill>
                <a:sysClr val="windowText" lastClr="000000"/>
              </a:solidFill>
            </a:rPr>
            <a:t>pārvades sistēmas pakalpojums (tarifs)</a:t>
          </a:r>
        </a:p>
      </dgm:t>
    </dgm:pt>
    <dgm:pt modelId="{F75CEAE9-368D-4A56-AA21-204A5655AC73}" type="parTrans" cxnId="{207A6B35-EE3E-4A60-A3D1-C805498BF83C}">
      <dgm:prSet/>
      <dgm:spPr/>
      <dgm:t>
        <a:bodyPr/>
        <a:lstStyle/>
        <a:p>
          <a:pPr algn="ctr"/>
          <a:endParaRPr lang="lv-LV" sz="1100">
            <a:solidFill>
              <a:sysClr val="windowText" lastClr="000000"/>
            </a:solidFill>
          </a:endParaRPr>
        </a:p>
      </dgm:t>
    </dgm:pt>
    <dgm:pt modelId="{B859C559-6375-4E61-B7EF-A7351D4F2773}" type="sibTrans" cxnId="{207A6B35-EE3E-4A60-A3D1-C805498BF83C}">
      <dgm:prSet/>
      <dgm:spPr/>
      <dgm:t>
        <a:bodyPr/>
        <a:lstStyle/>
        <a:p>
          <a:pPr algn="ctr"/>
          <a:endParaRPr lang="lv-LV" sz="1100">
            <a:solidFill>
              <a:sysClr val="windowText" lastClr="000000"/>
            </a:solidFill>
          </a:endParaRPr>
        </a:p>
      </dgm:t>
    </dgm:pt>
    <dgm:pt modelId="{2C6EBD79-0EF4-439F-883B-E46C9370B204}">
      <dgm:prSet phldrT="[Text]" custT="1"/>
      <dgm:spPr/>
      <dgm:t>
        <a:bodyPr/>
        <a:lstStyle/>
        <a:p>
          <a:pPr algn="ctr"/>
          <a:r>
            <a:rPr lang="lv-LV" sz="1100">
              <a:solidFill>
                <a:sysClr val="windowText" lastClr="000000"/>
              </a:solidFill>
            </a:rPr>
            <a:t>akcīzes nodoklis (diferencēta likme)</a:t>
          </a:r>
        </a:p>
      </dgm:t>
    </dgm:pt>
    <dgm:pt modelId="{F86C4C03-7F35-4CA5-A6DB-190053640427}" type="parTrans" cxnId="{8647AF44-2F6A-418B-BF59-94488033F77B}">
      <dgm:prSet/>
      <dgm:spPr/>
      <dgm:t>
        <a:bodyPr/>
        <a:lstStyle/>
        <a:p>
          <a:pPr algn="ctr"/>
          <a:endParaRPr lang="lv-LV" sz="1100">
            <a:solidFill>
              <a:sysClr val="windowText" lastClr="000000"/>
            </a:solidFill>
          </a:endParaRPr>
        </a:p>
      </dgm:t>
    </dgm:pt>
    <dgm:pt modelId="{62B3B93B-261A-4850-8EA3-269D786512F5}" type="sibTrans" cxnId="{8647AF44-2F6A-418B-BF59-94488033F77B}">
      <dgm:prSet/>
      <dgm:spPr/>
      <dgm:t>
        <a:bodyPr/>
        <a:lstStyle/>
        <a:p>
          <a:pPr algn="ctr"/>
          <a:endParaRPr lang="lv-LV" sz="1100">
            <a:solidFill>
              <a:sysClr val="windowText" lastClr="000000"/>
            </a:solidFill>
          </a:endParaRPr>
        </a:p>
      </dgm:t>
    </dgm:pt>
    <dgm:pt modelId="{3F8E37A3-4A98-4A1C-A270-5E036BA9F5B3}" type="pres">
      <dgm:prSet presAssocID="{52E04CD3-ECF8-4F9F-B74B-4CCDAAA7968F}" presName="compositeShape" presStyleCnt="0">
        <dgm:presLayoutVars>
          <dgm:chMax val="7"/>
          <dgm:dir/>
          <dgm:resizeHandles val="exact"/>
        </dgm:presLayoutVars>
      </dgm:prSet>
      <dgm:spPr/>
    </dgm:pt>
    <dgm:pt modelId="{49E55D25-2532-463A-B7E0-43EEAA60D186}" type="pres">
      <dgm:prSet presAssocID="{52E04CD3-ECF8-4F9F-B74B-4CCDAAA7968F}" presName="wedge1" presStyleLbl="node1" presStyleIdx="0" presStyleCnt="6" custLinFactNeighborX="-2929" custLinFactNeighborY="5208"/>
      <dgm:spPr/>
    </dgm:pt>
    <dgm:pt modelId="{E8965566-BC06-49A8-B2D2-5319BC4A6E3B}" type="pres">
      <dgm:prSet presAssocID="{52E04CD3-ECF8-4F9F-B74B-4CCDAAA7968F}" presName="wedge1Tx" presStyleLbl="node1" presStyleIdx="0" presStyleCnt="6">
        <dgm:presLayoutVars>
          <dgm:chMax val="0"/>
          <dgm:chPref val="0"/>
          <dgm:bulletEnabled val="1"/>
        </dgm:presLayoutVars>
      </dgm:prSet>
      <dgm:spPr/>
    </dgm:pt>
    <dgm:pt modelId="{5B7FB9D7-BBFF-41A4-9A89-BC43D53E3590}" type="pres">
      <dgm:prSet presAssocID="{52E04CD3-ECF8-4F9F-B74B-4CCDAAA7968F}" presName="wedge2" presStyleLbl="node1" presStyleIdx="1" presStyleCnt="6"/>
      <dgm:spPr/>
    </dgm:pt>
    <dgm:pt modelId="{43B88EED-EE24-455A-A9A0-AD9F877D1185}" type="pres">
      <dgm:prSet presAssocID="{52E04CD3-ECF8-4F9F-B74B-4CCDAAA7968F}" presName="wedge2Tx" presStyleLbl="node1" presStyleIdx="1" presStyleCnt="6">
        <dgm:presLayoutVars>
          <dgm:chMax val="0"/>
          <dgm:chPref val="0"/>
          <dgm:bulletEnabled val="1"/>
        </dgm:presLayoutVars>
      </dgm:prSet>
      <dgm:spPr/>
    </dgm:pt>
    <dgm:pt modelId="{4E479108-95F2-4F4C-8A3B-8FA33DCF896D}" type="pres">
      <dgm:prSet presAssocID="{52E04CD3-ECF8-4F9F-B74B-4CCDAAA7968F}" presName="wedge3" presStyleLbl="node1" presStyleIdx="2" presStyleCnt="6"/>
      <dgm:spPr/>
    </dgm:pt>
    <dgm:pt modelId="{FE0FA282-FFD8-4A68-8A6A-CAE2B7796E25}" type="pres">
      <dgm:prSet presAssocID="{52E04CD3-ECF8-4F9F-B74B-4CCDAAA7968F}" presName="wedge3Tx" presStyleLbl="node1" presStyleIdx="2" presStyleCnt="6">
        <dgm:presLayoutVars>
          <dgm:chMax val="0"/>
          <dgm:chPref val="0"/>
          <dgm:bulletEnabled val="1"/>
        </dgm:presLayoutVars>
      </dgm:prSet>
      <dgm:spPr/>
    </dgm:pt>
    <dgm:pt modelId="{51F7A5EA-9C66-4FD2-8C94-3C781BE77897}" type="pres">
      <dgm:prSet presAssocID="{52E04CD3-ECF8-4F9F-B74B-4CCDAAA7968F}" presName="wedge4" presStyleLbl="node1" presStyleIdx="3" presStyleCnt="6"/>
      <dgm:spPr/>
    </dgm:pt>
    <dgm:pt modelId="{7A2F0BA8-98EA-43A8-986F-7FF50952C003}" type="pres">
      <dgm:prSet presAssocID="{52E04CD3-ECF8-4F9F-B74B-4CCDAAA7968F}" presName="wedge4Tx" presStyleLbl="node1" presStyleIdx="3" presStyleCnt="6">
        <dgm:presLayoutVars>
          <dgm:chMax val="0"/>
          <dgm:chPref val="0"/>
          <dgm:bulletEnabled val="1"/>
        </dgm:presLayoutVars>
      </dgm:prSet>
      <dgm:spPr/>
    </dgm:pt>
    <dgm:pt modelId="{DE2BFA71-4993-4CBF-A5BF-BA7C1A2B2315}" type="pres">
      <dgm:prSet presAssocID="{52E04CD3-ECF8-4F9F-B74B-4CCDAAA7968F}" presName="wedge5" presStyleLbl="node1" presStyleIdx="4" presStyleCnt="6"/>
      <dgm:spPr/>
    </dgm:pt>
    <dgm:pt modelId="{B79D5C08-4D7A-48BA-BE30-8F66B77DA84B}" type="pres">
      <dgm:prSet presAssocID="{52E04CD3-ECF8-4F9F-B74B-4CCDAAA7968F}" presName="wedge5Tx" presStyleLbl="node1" presStyleIdx="4" presStyleCnt="6">
        <dgm:presLayoutVars>
          <dgm:chMax val="0"/>
          <dgm:chPref val="0"/>
          <dgm:bulletEnabled val="1"/>
        </dgm:presLayoutVars>
      </dgm:prSet>
      <dgm:spPr/>
    </dgm:pt>
    <dgm:pt modelId="{BC9D766E-18DF-4439-92AD-DE56CDBF3329}" type="pres">
      <dgm:prSet presAssocID="{52E04CD3-ECF8-4F9F-B74B-4CCDAAA7968F}" presName="wedge6" presStyleLbl="node1" presStyleIdx="5" presStyleCnt="6"/>
      <dgm:spPr/>
    </dgm:pt>
    <dgm:pt modelId="{8CA5AA04-4511-4EB2-9E54-E8D0DACD13BC}" type="pres">
      <dgm:prSet presAssocID="{52E04CD3-ECF8-4F9F-B74B-4CCDAAA7968F}" presName="wedge6Tx" presStyleLbl="node1" presStyleIdx="5" presStyleCnt="6">
        <dgm:presLayoutVars>
          <dgm:chMax val="0"/>
          <dgm:chPref val="0"/>
          <dgm:bulletEnabled val="1"/>
        </dgm:presLayoutVars>
      </dgm:prSet>
      <dgm:spPr/>
    </dgm:pt>
  </dgm:ptLst>
  <dgm:cxnLst>
    <dgm:cxn modelId="{39BA5305-8182-4F00-9E1A-CD0B03AD06E9}" type="presOf" srcId="{52E04CD3-ECF8-4F9F-B74B-4CCDAAA7968F}" destId="{3F8E37A3-4A98-4A1C-A270-5E036BA9F5B3}" srcOrd="0" destOrd="0" presId="urn:microsoft.com/office/officeart/2005/8/layout/chart3"/>
    <dgm:cxn modelId="{D11CE909-7A8C-41C2-AB46-CAC58308A38A}" srcId="{52E04CD3-ECF8-4F9F-B74B-4CCDAAA7968F}" destId="{DBB391B3-449E-4174-B3D2-E2103341FCC6}" srcOrd="1" destOrd="0" parTransId="{83F32F4C-ADC4-4457-BCF5-0F57E93E6FD3}" sibTransId="{5D725C25-7BF2-4B2E-AAE0-171793B26DCE}"/>
    <dgm:cxn modelId="{3AA5C011-7337-4E1B-B8EE-D346A2CA16FB}" srcId="{52E04CD3-ECF8-4F9F-B74B-4CCDAAA7968F}" destId="{DEDA63ED-ADEE-4815-B836-7E2AC0567C35}" srcOrd="4" destOrd="0" parTransId="{B11630CE-BE90-43FD-BC5E-2FABAD75ED8F}" sibTransId="{27D98343-2E26-43E6-BA87-662DD74A1DA7}"/>
    <dgm:cxn modelId="{62598D14-1E1B-4102-95D0-804419925286}" type="presOf" srcId="{A3C3F178-6212-4868-B111-2761E88D7D46}" destId="{E8965566-BC06-49A8-B2D2-5319BC4A6E3B}" srcOrd="1" destOrd="0" presId="urn:microsoft.com/office/officeart/2005/8/layout/chart3"/>
    <dgm:cxn modelId="{23F1F41C-0A4C-4F27-B911-89A2A9CBBC4B}" type="presOf" srcId="{DBB391B3-449E-4174-B3D2-E2103341FCC6}" destId="{5B7FB9D7-BBFF-41A4-9A89-BC43D53E3590}" srcOrd="0" destOrd="0" presId="urn:microsoft.com/office/officeart/2005/8/layout/chart3"/>
    <dgm:cxn modelId="{E1254F20-B0A7-406C-9B3A-38196930C60B}" type="presOf" srcId="{DEDA63ED-ADEE-4815-B836-7E2AC0567C35}" destId="{DE2BFA71-4993-4CBF-A5BF-BA7C1A2B2315}" srcOrd="0" destOrd="0" presId="urn:microsoft.com/office/officeart/2005/8/layout/chart3"/>
    <dgm:cxn modelId="{E418E420-7D6B-4A04-97A5-BEFB654F249A}" srcId="{52E04CD3-ECF8-4F9F-B74B-4CCDAAA7968F}" destId="{A3C3F178-6212-4868-B111-2761E88D7D46}" srcOrd="0" destOrd="0" parTransId="{0762894F-D258-4B95-A177-DE74DCF57E18}" sibTransId="{F1CFBA51-A1E8-4BEE-BECC-A9F72CBD918B}"/>
    <dgm:cxn modelId="{207A6B35-EE3E-4A60-A3D1-C805498BF83C}" srcId="{52E04CD3-ECF8-4F9F-B74B-4CCDAAA7968F}" destId="{76B8EFF8-0574-4FD8-847B-52806845AAA4}" srcOrd="2" destOrd="0" parTransId="{F75CEAE9-368D-4A56-AA21-204A5655AC73}" sibTransId="{B859C559-6375-4E61-B7EF-A7351D4F2773}"/>
    <dgm:cxn modelId="{8647AF44-2F6A-418B-BF59-94488033F77B}" srcId="{52E04CD3-ECF8-4F9F-B74B-4CCDAAA7968F}" destId="{2C6EBD79-0EF4-439F-883B-E46C9370B204}" srcOrd="5" destOrd="0" parTransId="{F86C4C03-7F35-4CA5-A6DB-190053640427}" sibTransId="{62B3B93B-261A-4850-8EA3-269D786512F5}"/>
    <dgm:cxn modelId="{336D336A-E9AB-4821-B892-E24585124853}" type="presOf" srcId="{2C6EBD79-0EF4-439F-883B-E46C9370B204}" destId="{BC9D766E-18DF-4439-92AD-DE56CDBF3329}" srcOrd="0" destOrd="0" presId="urn:microsoft.com/office/officeart/2005/8/layout/chart3"/>
    <dgm:cxn modelId="{366DAB4D-0765-469B-BDA1-EBDDD2B6473A}" type="presOf" srcId="{A3C3F178-6212-4868-B111-2761E88D7D46}" destId="{49E55D25-2532-463A-B7E0-43EEAA60D186}" srcOrd="0" destOrd="0" presId="urn:microsoft.com/office/officeart/2005/8/layout/chart3"/>
    <dgm:cxn modelId="{E843927E-D130-46F0-B269-1EC85E662C35}" type="presOf" srcId="{2C6EBD79-0EF4-439F-883B-E46C9370B204}" destId="{8CA5AA04-4511-4EB2-9E54-E8D0DACD13BC}" srcOrd="1" destOrd="0" presId="urn:microsoft.com/office/officeart/2005/8/layout/chart3"/>
    <dgm:cxn modelId="{4DBC1F9E-6026-4451-ADF0-5E495E562A1F}" type="presOf" srcId="{76B8EFF8-0574-4FD8-847B-52806845AAA4}" destId="{FE0FA282-FFD8-4A68-8A6A-CAE2B7796E25}" srcOrd="1" destOrd="0" presId="urn:microsoft.com/office/officeart/2005/8/layout/chart3"/>
    <dgm:cxn modelId="{B99990B4-966E-430A-8B4C-4C2F64B33686}" type="presOf" srcId="{516D55C4-5D01-4768-AA14-2E647598E5CC}" destId="{51F7A5EA-9C66-4FD2-8C94-3C781BE77897}" srcOrd="0" destOrd="0" presId="urn:microsoft.com/office/officeart/2005/8/layout/chart3"/>
    <dgm:cxn modelId="{75E70DB7-E907-4ECD-B523-FBE359504A11}" type="presOf" srcId="{76B8EFF8-0574-4FD8-847B-52806845AAA4}" destId="{4E479108-95F2-4F4C-8A3B-8FA33DCF896D}" srcOrd="0" destOrd="0" presId="urn:microsoft.com/office/officeart/2005/8/layout/chart3"/>
    <dgm:cxn modelId="{CF6393B8-4C3D-4C4A-B50F-D063CD619A0F}" type="presOf" srcId="{516D55C4-5D01-4768-AA14-2E647598E5CC}" destId="{7A2F0BA8-98EA-43A8-986F-7FF50952C003}" srcOrd="1" destOrd="0" presId="urn:microsoft.com/office/officeart/2005/8/layout/chart3"/>
    <dgm:cxn modelId="{C716CABE-2F63-4064-A3DD-0C14DB3593F7}" srcId="{52E04CD3-ECF8-4F9F-B74B-4CCDAAA7968F}" destId="{516D55C4-5D01-4768-AA14-2E647598E5CC}" srcOrd="3" destOrd="0" parTransId="{4EC62071-B851-493A-AD8E-F18A76EBB25B}" sibTransId="{8A13B056-C972-4905-B88D-D1A089FCA437}"/>
    <dgm:cxn modelId="{8D5FD7BE-8E33-401D-8057-17C07991B18A}" type="presOf" srcId="{DEDA63ED-ADEE-4815-B836-7E2AC0567C35}" destId="{B79D5C08-4D7A-48BA-BE30-8F66B77DA84B}" srcOrd="1" destOrd="0" presId="urn:microsoft.com/office/officeart/2005/8/layout/chart3"/>
    <dgm:cxn modelId="{9E2B67D0-F006-4A82-81B7-844E72F439C2}" type="presOf" srcId="{DBB391B3-449E-4174-B3D2-E2103341FCC6}" destId="{43B88EED-EE24-455A-A9A0-AD9F877D1185}" srcOrd="1" destOrd="0" presId="urn:microsoft.com/office/officeart/2005/8/layout/chart3"/>
    <dgm:cxn modelId="{32B71445-87CF-4A60-8255-4CCA5E580EF2}" type="presParOf" srcId="{3F8E37A3-4A98-4A1C-A270-5E036BA9F5B3}" destId="{49E55D25-2532-463A-B7E0-43EEAA60D186}" srcOrd="0" destOrd="0" presId="urn:microsoft.com/office/officeart/2005/8/layout/chart3"/>
    <dgm:cxn modelId="{9EC96FDE-A67C-4D4E-81BF-4412FE443B7E}" type="presParOf" srcId="{3F8E37A3-4A98-4A1C-A270-5E036BA9F5B3}" destId="{E8965566-BC06-49A8-B2D2-5319BC4A6E3B}" srcOrd="1" destOrd="0" presId="urn:microsoft.com/office/officeart/2005/8/layout/chart3"/>
    <dgm:cxn modelId="{00DB052D-2AFA-46C3-9FD4-2B43E56DD99F}" type="presParOf" srcId="{3F8E37A3-4A98-4A1C-A270-5E036BA9F5B3}" destId="{5B7FB9D7-BBFF-41A4-9A89-BC43D53E3590}" srcOrd="2" destOrd="0" presId="urn:microsoft.com/office/officeart/2005/8/layout/chart3"/>
    <dgm:cxn modelId="{22CF65F3-5263-42FF-B367-23570DF8DF83}" type="presParOf" srcId="{3F8E37A3-4A98-4A1C-A270-5E036BA9F5B3}" destId="{43B88EED-EE24-455A-A9A0-AD9F877D1185}" srcOrd="3" destOrd="0" presId="urn:microsoft.com/office/officeart/2005/8/layout/chart3"/>
    <dgm:cxn modelId="{3EEF1EBE-07F8-425D-A16B-A795D23C1416}" type="presParOf" srcId="{3F8E37A3-4A98-4A1C-A270-5E036BA9F5B3}" destId="{4E479108-95F2-4F4C-8A3B-8FA33DCF896D}" srcOrd="4" destOrd="0" presId="urn:microsoft.com/office/officeart/2005/8/layout/chart3"/>
    <dgm:cxn modelId="{BAEDBA8B-A441-4AF3-8063-2873D0A8B5F8}" type="presParOf" srcId="{3F8E37A3-4A98-4A1C-A270-5E036BA9F5B3}" destId="{FE0FA282-FFD8-4A68-8A6A-CAE2B7796E25}" srcOrd="5" destOrd="0" presId="urn:microsoft.com/office/officeart/2005/8/layout/chart3"/>
    <dgm:cxn modelId="{656654DA-04B2-4D74-8801-8DD481FDE027}" type="presParOf" srcId="{3F8E37A3-4A98-4A1C-A270-5E036BA9F5B3}" destId="{51F7A5EA-9C66-4FD2-8C94-3C781BE77897}" srcOrd="6" destOrd="0" presId="urn:microsoft.com/office/officeart/2005/8/layout/chart3"/>
    <dgm:cxn modelId="{2781B07A-260E-4F34-BAF0-1E189FE06012}" type="presParOf" srcId="{3F8E37A3-4A98-4A1C-A270-5E036BA9F5B3}" destId="{7A2F0BA8-98EA-43A8-986F-7FF50952C003}" srcOrd="7" destOrd="0" presId="urn:microsoft.com/office/officeart/2005/8/layout/chart3"/>
    <dgm:cxn modelId="{7008C00C-931D-4FAF-AA35-A1FDC160152A}" type="presParOf" srcId="{3F8E37A3-4A98-4A1C-A270-5E036BA9F5B3}" destId="{DE2BFA71-4993-4CBF-A5BF-BA7C1A2B2315}" srcOrd="8" destOrd="0" presId="urn:microsoft.com/office/officeart/2005/8/layout/chart3"/>
    <dgm:cxn modelId="{828D7035-7F55-40FD-B4AE-D7DEE9FC8963}" type="presParOf" srcId="{3F8E37A3-4A98-4A1C-A270-5E036BA9F5B3}" destId="{B79D5C08-4D7A-48BA-BE30-8F66B77DA84B}" srcOrd="9" destOrd="0" presId="urn:microsoft.com/office/officeart/2005/8/layout/chart3"/>
    <dgm:cxn modelId="{28903411-C61E-4E56-B82D-C00D2413E9C3}" type="presParOf" srcId="{3F8E37A3-4A98-4A1C-A270-5E036BA9F5B3}" destId="{BC9D766E-18DF-4439-92AD-DE56CDBF3329}" srcOrd="10" destOrd="0" presId="urn:microsoft.com/office/officeart/2005/8/layout/chart3"/>
    <dgm:cxn modelId="{79BA76F4-FB38-4ACD-8E81-8A1159EFA6BA}" type="presParOf" srcId="{3F8E37A3-4A98-4A1C-A270-5E036BA9F5B3}" destId="{8CA5AA04-4511-4EB2-9E54-E8D0DACD13BC}" srcOrd="11" destOrd="0" presId="urn:microsoft.com/office/officeart/2005/8/layout/char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55D25-2532-463A-B7E0-43EEAA60D186}">
      <dsp:nvSpPr>
        <dsp:cNvPr id="0" name=""/>
        <dsp:cNvSpPr/>
      </dsp:nvSpPr>
      <dsp:spPr>
        <a:xfrm>
          <a:off x="1483827" y="318194"/>
          <a:ext cx="2617927" cy="2617927"/>
        </a:xfrm>
        <a:prstGeom prst="pie">
          <a:avLst>
            <a:gd name="adj1" fmla="val 16200000"/>
            <a:gd name="adj2" fmla="val 19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rPr>
            <a:t>dabasgāzes tirgus cena</a:t>
          </a:r>
        </a:p>
      </dsp:txBody>
      <dsp:txXfrm>
        <a:off x="2820839" y="598686"/>
        <a:ext cx="763562" cy="560984"/>
      </dsp:txXfrm>
    </dsp:sp>
    <dsp:sp modelId="{5B7FB9D7-BBFF-41A4-9A89-BC43D53E3590}">
      <dsp:nvSpPr>
        <dsp:cNvPr id="0" name=""/>
        <dsp:cNvSpPr/>
      </dsp:nvSpPr>
      <dsp:spPr>
        <a:xfrm>
          <a:off x="1482591" y="316800"/>
          <a:ext cx="2617927" cy="2617927"/>
        </a:xfrm>
        <a:prstGeom prst="pie">
          <a:avLst>
            <a:gd name="adj1" fmla="val 19800000"/>
            <a:gd name="adj2" fmla="val 180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rPr>
            <a:t>sadales sistēmas pakalpojums (tarifs)</a:t>
          </a:r>
        </a:p>
      </dsp:txBody>
      <dsp:txXfrm>
        <a:off x="3274625" y="1360854"/>
        <a:ext cx="791611" cy="529818"/>
      </dsp:txXfrm>
    </dsp:sp>
    <dsp:sp modelId="{4E479108-95F2-4F4C-8A3B-8FA33DCF896D}">
      <dsp:nvSpPr>
        <dsp:cNvPr id="0" name=""/>
        <dsp:cNvSpPr/>
      </dsp:nvSpPr>
      <dsp:spPr>
        <a:xfrm>
          <a:off x="1482591" y="316800"/>
          <a:ext cx="2617927" cy="2617927"/>
        </a:xfrm>
        <a:prstGeom prst="pie">
          <a:avLst>
            <a:gd name="adj1" fmla="val 1800000"/>
            <a:gd name="adj2" fmla="val 540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rPr>
            <a:t>pārvades sistēmas pakalpojums (tarifs)</a:t>
          </a:r>
        </a:p>
      </dsp:txBody>
      <dsp:txXfrm>
        <a:off x="2819604" y="2093250"/>
        <a:ext cx="763562" cy="560984"/>
      </dsp:txXfrm>
    </dsp:sp>
    <dsp:sp modelId="{51F7A5EA-9C66-4FD2-8C94-3C781BE77897}">
      <dsp:nvSpPr>
        <dsp:cNvPr id="0" name=""/>
        <dsp:cNvSpPr/>
      </dsp:nvSpPr>
      <dsp:spPr>
        <a:xfrm>
          <a:off x="1482591" y="316800"/>
          <a:ext cx="2617927" cy="2617927"/>
        </a:xfrm>
        <a:prstGeom prst="pie">
          <a:avLst>
            <a:gd name="adj1" fmla="val 5400000"/>
            <a:gd name="adj2" fmla="val 900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rPr>
            <a:t>uzglabāša-nas sistēmas pakalpojums (tarifs)</a:t>
          </a:r>
        </a:p>
      </dsp:txBody>
      <dsp:txXfrm>
        <a:off x="1999943" y="2093250"/>
        <a:ext cx="763562" cy="560984"/>
      </dsp:txXfrm>
    </dsp:sp>
    <dsp:sp modelId="{DE2BFA71-4993-4CBF-A5BF-BA7C1A2B2315}">
      <dsp:nvSpPr>
        <dsp:cNvPr id="0" name=""/>
        <dsp:cNvSpPr/>
      </dsp:nvSpPr>
      <dsp:spPr>
        <a:xfrm>
          <a:off x="1482591" y="316800"/>
          <a:ext cx="2617927" cy="2617927"/>
        </a:xfrm>
        <a:prstGeom prst="pie">
          <a:avLst>
            <a:gd name="adj1" fmla="val 9000000"/>
            <a:gd name="adj2" fmla="val 1260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rPr>
            <a:t>PVN 21%</a:t>
          </a:r>
        </a:p>
      </dsp:txBody>
      <dsp:txXfrm>
        <a:off x="1523107" y="1360854"/>
        <a:ext cx="791611" cy="529818"/>
      </dsp:txXfrm>
    </dsp:sp>
    <dsp:sp modelId="{BC9D766E-18DF-4439-92AD-DE56CDBF3329}">
      <dsp:nvSpPr>
        <dsp:cNvPr id="0" name=""/>
        <dsp:cNvSpPr/>
      </dsp:nvSpPr>
      <dsp:spPr>
        <a:xfrm>
          <a:off x="1482591" y="316800"/>
          <a:ext cx="2617927" cy="2617927"/>
        </a:xfrm>
        <a:prstGeom prst="pie">
          <a:avLst>
            <a:gd name="adj1" fmla="val 126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rPr>
            <a:t>akcīzes nodoklis (diferencēta likme)</a:t>
          </a:r>
        </a:p>
      </dsp:txBody>
      <dsp:txXfrm>
        <a:off x="1999943" y="597292"/>
        <a:ext cx="763562" cy="560984"/>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8C758-E108-481C-9989-D083A797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38</Pages>
  <Words>51982</Words>
  <Characters>29631</Characters>
  <Application>Microsoft Office Word</Application>
  <DocSecurity>0</DocSecurity>
  <Lines>246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Helēna Rimša</dc:creator>
  <cp:keywords/>
  <dc:description/>
  <cp:lastModifiedBy>Helēna Rimša</cp:lastModifiedBy>
  <cp:revision>6</cp:revision>
  <dcterms:created xsi:type="dcterms:W3CDTF">2019-10-03T14:20:00Z</dcterms:created>
  <dcterms:modified xsi:type="dcterms:W3CDTF">2019-10-04T08:33:00Z</dcterms:modified>
</cp:coreProperties>
</file>