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83F98" w14:textId="23ADCCF1" w:rsidR="00B10B38" w:rsidRPr="00114CAE" w:rsidRDefault="00B10B38">
      <w:pPr>
        <w:rPr>
          <w:b/>
          <w:bCs/>
          <w:sz w:val="24"/>
          <w:szCs w:val="24"/>
        </w:rPr>
      </w:pPr>
      <w:r w:rsidRPr="00114CAE">
        <w:rPr>
          <w:b/>
          <w:bCs/>
          <w:sz w:val="24"/>
          <w:szCs w:val="24"/>
        </w:rPr>
        <w:t>Būvniecības procesa &amp; regulējuma attīstības ceļa karte</w:t>
      </w:r>
      <w:r w:rsidR="00E52919">
        <w:rPr>
          <w:b/>
          <w:bCs/>
          <w:sz w:val="24"/>
          <w:szCs w:val="24"/>
        </w:rPr>
        <w:t xml:space="preserve"> 2021</w:t>
      </w:r>
    </w:p>
    <w:p w14:paraId="421D5480" w14:textId="0F39B8F5" w:rsidR="00E52919" w:rsidRDefault="00E52919" w:rsidP="00153068">
      <w:pPr>
        <w:jc w:val="both"/>
        <w:rPr>
          <w:b/>
          <w:bCs/>
        </w:rPr>
      </w:pPr>
      <w:r>
        <w:rPr>
          <w:b/>
          <w:bCs/>
        </w:rPr>
        <w:t>1.Būvniecības regulējums kopumā</w:t>
      </w:r>
    </w:p>
    <w:p w14:paraId="716DE8FE" w14:textId="69636639" w:rsidR="00E52919" w:rsidRPr="000F2E52" w:rsidRDefault="00E52919" w:rsidP="000F2E52">
      <w:pPr>
        <w:jc w:val="both"/>
      </w:pPr>
      <w:r w:rsidRPr="00E52919">
        <w:t xml:space="preserve">Latvijas būvniecības nozares regulējumu kopumā veido </w:t>
      </w:r>
      <w:r w:rsidRPr="00E52919">
        <w:t>Būvniecības likum</w:t>
      </w:r>
      <w:r w:rsidRPr="00E52919">
        <w:t>s (BL)</w:t>
      </w:r>
      <w:r w:rsidRPr="00E52919">
        <w:t>, Vispārīg</w:t>
      </w:r>
      <w:r w:rsidRPr="00E52919">
        <w:t>ie</w:t>
      </w:r>
      <w:r w:rsidRPr="00E52919">
        <w:t xml:space="preserve"> būvnoteikum</w:t>
      </w:r>
      <w:r w:rsidRPr="00E52919">
        <w:t xml:space="preserve">i (VBN), </w:t>
      </w:r>
      <w:r w:rsidRPr="00E52919">
        <w:t>Ēku</w:t>
      </w:r>
      <w:r w:rsidRPr="00E52919">
        <w:t xml:space="preserve"> (EBN)</w:t>
      </w:r>
      <w:r w:rsidRPr="00E52919">
        <w:t xml:space="preserve"> </w:t>
      </w:r>
      <w:r w:rsidRPr="00E52919">
        <w:t xml:space="preserve">un Inženierbūvju (IBN) </w:t>
      </w:r>
      <w:r w:rsidRPr="00E52919">
        <w:t>būvnoteikum</w:t>
      </w:r>
      <w:r w:rsidRPr="00E52919">
        <w:t>i, &gt; 30 Latvijas Būvnormatīvi (LBN)</w:t>
      </w:r>
      <w:r>
        <w:t xml:space="preserve">, kam seko vēl dažādi LVS, </w:t>
      </w:r>
      <w:r w:rsidR="00112BED">
        <w:t>NE (Eiropas standarti)</w:t>
      </w:r>
      <w:r>
        <w:t xml:space="preserve"> un citi nozares profesionālie standarti un vadlīnijas.</w:t>
      </w:r>
      <w:r w:rsidRPr="00E52919">
        <w:t xml:space="preserve"> </w:t>
      </w:r>
      <w:r>
        <w:t>Regulējums definē būvniecības procesa posmu norises sākot no būvniecības ieceres līdz ēkas nodošanai ekspluatācijā, iesaistīto pušu atbildības, uzdevumus, tiesības, pienākumus. Latvijas Būvniecības regulējums</w:t>
      </w:r>
      <w:r w:rsidR="00112BED">
        <w:t xml:space="preserve"> kopumā</w:t>
      </w:r>
      <w:r>
        <w:t xml:space="preserve"> ir definēts uz</w:t>
      </w:r>
      <w:r w:rsidR="00112BED">
        <w:t xml:space="preserve"> min</w:t>
      </w:r>
      <w:r>
        <w:t xml:space="preserve"> 500 lpp, būvniecības procesā katru gadu piedalās simtiem tūkstoši dalībnieki</w:t>
      </w:r>
      <w:r w:rsidR="000F2E52">
        <w:t xml:space="preserve">, ikdienas būvniecības procesos, projektos, dokumentos </w:t>
      </w:r>
      <w:r w:rsidR="00153068">
        <w:t xml:space="preserve">un pamatprincipos </w:t>
      </w:r>
      <w:r w:rsidR="000F2E52">
        <w:t>ir daudz un dažādas interpretācijas</w:t>
      </w:r>
      <w:r w:rsidR="00112BED">
        <w:t>, strīdi un nepilnības.</w:t>
      </w:r>
      <w:r w:rsidR="000F2E52">
        <w:t xml:space="preserve"> </w:t>
      </w:r>
      <w:r w:rsidR="00153068">
        <w:t xml:space="preserve">Būvniecības process ietver gan privātmāju, gan komercbūvju, gan publisko būvju projektēšanu un būvniecību, taču nozarē </w:t>
      </w:r>
      <w:r w:rsidR="00112BED">
        <w:t>valda</w:t>
      </w:r>
      <w:r w:rsidR="00153068">
        <w:t xml:space="preserve"> uzskats, ka vairāk izaicinājumi ir publisko būvju procesos un projektos. </w:t>
      </w:r>
      <w:r w:rsidR="000F2E52">
        <w:t>Latvijas Būvniecības procesa un būvju kvalitāti uzrauga vairākas valsts un pašvaldību institūcijas, būvniecības procesi un lietvedības dokumenti tiek strauji digitalizēti</w:t>
      </w:r>
      <w:r w:rsidR="00112BED">
        <w:t xml:space="preserve"> un kopējo procesu un tā posmus (apjomus, termiņus un kvalitāti) beidzot ir iespējams objektīvi monitorēt.</w:t>
      </w:r>
      <w:r>
        <w:t xml:space="preserve"> Būvniecības nozares NVO uzskata, ka būvniecības nozare </w:t>
      </w:r>
      <w:r w:rsidR="000F2E52">
        <w:t xml:space="preserve">joprojām </w:t>
      </w:r>
      <w:r>
        <w:t>ir pārregulēta, valsts pārvaldes institūciju vēlme kontrolēt būvniecības procesus</w:t>
      </w:r>
      <w:r w:rsidR="000F2E52">
        <w:t>, īpaši drošības aspektus</w:t>
      </w:r>
      <w:r>
        <w:t xml:space="preserve"> ir augsta, taču lai būvniecības nozares varētu ilgtermiņā attīstīties svarīgi būtu </w:t>
      </w:r>
      <w:r w:rsidR="000F2E52">
        <w:t xml:space="preserve">veicināt būvniecības nozares dalībnieku </w:t>
      </w:r>
      <w:r w:rsidR="000F2E52">
        <w:t xml:space="preserve">būvkomersantu un </w:t>
      </w:r>
      <w:r w:rsidR="000F2E52">
        <w:t xml:space="preserve">arhitektu un </w:t>
      </w:r>
      <w:r w:rsidR="000F2E52">
        <w:t xml:space="preserve">būvinženieru </w:t>
      </w:r>
      <w:r w:rsidR="000F2E52">
        <w:t>profesionāl</w:t>
      </w:r>
      <w:r w:rsidR="00A07F43">
        <w:t>ās darbības jomas</w:t>
      </w:r>
      <w:r w:rsidR="000F2E52">
        <w:t xml:space="preserve"> atbildību, pašregulāciju un mazināt procesu birokrātiju, kas arī samazinātu kopējā procesa izmaksas un termiņus, kur ieguvēji būtu ēku pasūtītāji un lietotāji.</w:t>
      </w:r>
      <w:r w:rsidR="00153068">
        <w:t xml:space="preserve"> </w:t>
      </w:r>
      <w:r w:rsidR="00153068">
        <w:t>Perspektīvais mērķis – procesa pārvaldības decentralizācija un pašpārvaldes tiesību piešķiršana gan profesionālajām pašpārvaldes organizācijām un</w:t>
      </w:r>
      <w:r w:rsidR="000A459F">
        <w:t xml:space="preserve"> būvnozares dažādu regulējumu izstrādes pilnvaru no MK uz </w:t>
      </w:r>
      <w:r w:rsidR="00153068">
        <w:t>EM</w:t>
      </w:r>
      <w:r w:rsidR="000A459F">
        <w:t xml:space="preserve"> pārcelšana.</w:t>
      </w:r>
      <w:r w:rsidR="00112BED">
        <w:t xml:space="preserve"> Šis dokuments ir izveidots ar mērķi Būvniecības padomē uzturēt visaptverošu un ikgadējo būvniecības procesa vēlamo pārmaiņu pārskatu. Būvniecības padome kopā ar valsts pārvaldes pārstāvjiem šo dokumentu 1x gadā apstiprina.</w:t>
      </w:r>
    </w:p>
    <w:p w14:paraId="1751EAE8" w14:textId="5B7B466D" w:rsidR="00D81668" w:rsidRPr="000F2E52" w:rsidRDefault="00D81668" w:rsidP="000F2E52">
      <w:pPr>
        <w:rPr>
          <w:b/>
          <w:bCs/>
        </w:rPr>
      </w:pPr>
      <w:r w:rsidRPr="00D81668">
        <w:rPr>
          <w:b/>
          <w:bCs/>
        </w:rPr>
        <w:t>1.</w:t>
      </w:r>
      <w:r w:rsidR="00B10B38" w:rsidRPr="00D81668">
        <w:rPr>
          <w:b/>
          <w:bCs/>
        </w:rPr>
        <w:t>Būvniecības likums</w:t>
      </w:r>
      <w:r w:rsidR="000F2E52">
        <w:rPr>
          <w:b/>
          <w:bCs/>
        </w:rPr>
        <w:t>, Vispārīgie pārmaiņu priekšlikumi</w:t>
      </w:r>
    </w:p>
    <w:p w14:paraId="2D060EB9" w14:textId="2CB15D36" w:rsidR="00D81668" w:rsidRDefault="00D81668" w:rsidP="00FC75AA">
      <w:pPr>
        <w:spacing w:line="240" w:lineRule="auto"/>
      </w:pPr>
      <w:r>
        <w:t>1.3. Mazāks būvprocesa administratīvais slogs (mazāk formālu dokumentu), ātrāki termiņi</w:t>
      </w:r>
    </w:p>
    <w:p w14:paraId="7E4BC607" w14:textId="1A53D52E" w:rsidR="00153068" w:rsidRDefault="00D81668" w:rsidP="00FC75AA">
      <w:pPr>
        <w:spacing w:line="240" w:lineRule="auto"/>
      </w:pPr>
      <w:r>
        <w:t xml:space="preserve">1.4. </w:t>
      </w:r>
      <w:r w:rsidR="00153068">
        <w:t>Jāprecizē Pasūtītāja profesionālā atbildība, iniciēt būvniecības ieceri, to koordinēt, nodrošināt būvniecības ieceres procesa kvalitāti</w:t>
      </w:r>
    </w:p>
    <w:p w14:paraId="2B51B9EF" w14:textId="3D25145B" w:rsidR="00D81668" w:rsidRDefault="00153068" w:rsidP="00FC75AA">
      <w:pPr>
        <w:spacing w:line="240" w:lineRule="auto"/>
      </w:pPr>
      <w:r>
        <w:t xml:space="preserve">1.5. </w:t>
      </w:r>
      <w:r w:rsidR="000F2E52">
        <w:t xml:space="preserve">Valsts pārvaldes </w:t>
      </w:r>
      <w:r w:rsidR="00D81668">
        <w:t xml:space="preserve">Būvprojekta un Būvdarbu kontrole </w:t>
      </w:r>
      <w:r w:rsidR="000F2E52">
        <w:t xml:space="preserve">tikai </w:t>
      </w:r>
      <w:r w:rsidR="00D81668">
        <w:t>būtiskām būves prasībām</w:t>
      </w:r>
    </w:p>
    <w:p w14:paraId="502DF505" w14:textId="2F08D562" w:rsidR="00FC75AA" w:rsidRDefault="00FC75AA" w:rsidP="00FC75AA">
      <w:pPr>
        <w:spacing w:line="240" w:lineRule="auto"/>
      </w:pPr>
      <w:r>
        <w:t>1.</w:t>
      </w:r>
      <w:r w:rsidR="00153068">
        <w:t>6</w:t>
      </w:r>
      <w:r>
        <w:t>. Būvkomersantu reģistrā ir visi Būvkomersanti (arī nereglamentētā sfēra)</w:t>
      </w:r>
    </w:p>
    <w:p w14:paraId="6796F5BA" w14:textId="69233D08" w:rsidR="00FC75AA" w:rsidRDefault="00FC75AA" w:rsidP="00FC75AA">
      <w:pPr>
        <w:spacing w:line="240" w:lineRule="auto"/>
      </w:pPr>
      <w:r>
        <w:t>1.</w:t>
      </w:r>
      <w:r w:rsidR="00153068">
        <w:t>7</w:t>
      </w:r>
      <w:r>
        <w:t>. Būvkomersantu klasifikācijā var izmantot BISā uzkrāto pieredzi (tiek izveidots jauns kvalificēto būvspeciālistu reģistrs)</w:t>
      </w:r>
    </w:p>
    <w:p w14:paraId="7041C990" w14:textId="1A40EC32" w:rsidR="00FC75AA" w:rsidRDefault="00FC75AA" w:rsidP="00FC75AA">
      <w:pPr>
        <w:spacing w:line="240" w:lineRule="auto"/>
      </w:pPr>
      <w:r>
        <w:t>1.</w:t>
      </w:r>
      <w:r w:rsidR="00153068">
        <w:t>8</w:t>
      </w:r>
      <w:r>
        <w:t>. Būvspeciālistu profesionālās sertificēšanas princips</w:t>
      </w:r>
      <w:r w:rsidR="00AB6B5F">
        <w:t xml:space="preserve"> (sertificēšanas institūciju konsolidācija un/vai kopēja Ombud (profesionālās darbības pārkāpumu virsuzraudzība)</w:t>
      </w:r>
    </w:p>
    <w:p w14:paraId="1068E56E" w14:textId="122CC4C7" w:rsidR="00FC75AA" w:rsidRDefault="00FC75AA" w:rsidP="00FC75AA">
      <w:pPr>
        <w:spacing w:line="240" w:lineRule="auto"/>
      </w:pPr>
      <w:r>
        <w:t>1.</w:t>
      </w:r>
      <w:r w:rsidR="00153068">
        <w:t>9</w:t>
      </w:r>
      <w:r>
        <w:t>. BIS papildus funkcionalitāte</w:t>
      </w:r>
      <w:r w:rsidR="00870E46">
        <w:t xml:space="preserve">: </w:t>
      </w:r>
      <w:r w:rsidR="00B20379">
        <w:t xml:space="preserve">Būvdarbu žurnāla template </w:t>
      </w:r>
      <w:r w:rsidR="00870E46">
        <w:t xml:space="preserve">(DVP) </w:t>
      </w:r>
      <w:r w:rsidR="00B20379">
        <w:t>, kvalitātes index, būvgružu uzskaites sistēma</w:t>
      </w:r>
      <w:r w:rsidR="00870E46">
        <w:t>, būvprocesa 1xQ KPI atskaites</w:t>
      </w:r>
    </w:p>
    <w:p w14:paraId="7159B225" w14:textId="3F7A0948" w:rsidR="00195475" w:rsidRDefault="00195475" w:rsidP="00FC75AA">
      <w:pPr>
        <w:spacing w:line="240" w:lineRule="auto"/>
      </w:pPr>
      <w:r>
        <w:t>1.</w:t>
      </w:r>
      <w:r w:rsidR="00153068">
        <w:t>10</w:t>
      </w:r>
      <w:r>
        <w:t>. Būvvaldi vada vadītājs ar arhitekta izglītību un pieredzi</w:t>
      </w:r>
    </w:p>
    <w:p w14:paraId="04A8E3DC" w14:textId="1A745BB1" w:rsidR="00195475" w:rsidRDefault="00195475" w:rsidP="00FC75AA">
      <w:pPr>
        <w:spacing w:line="240" w:lineRule="auto"/>
      </w:pPr>
      <w:r>
        <w:t>1.1</w:t>
      </w:r>
      <w:r w:rsidR="00153068">
        <w:t>1</w:t>
      </w:r>
      <w:r>
        <w:t xml:space="preserve"> Būvniecības padome</w:t>
      </w:r>
      <w:r w:rsidR="00AB6B5F">
        <w:t xml:space="preserve"> lemj par</w:t>
      </w:r>
      <w:r>
        <w:t xml:space="preserve"> grozījumi</w:t>
      </w:r>
      <w:r w:rsidR="00AB6B5F">
        <w:t>em BL, VBN, ĒBN, BIS, būvkomersantu nodevas izlietojums, …</w:t>
      </w:r>
    </w:p>
    <w:p w14:paraId="5F30C322" w14:textId="5EF46EBC" w:rsidR="00CC4F3E" w:rsidRDefault="00CC4F3E" w:rsidP="00FC75AA">
      <w:pPr>
        <w:spacing w:line="240" w:lineRule="auto"/>
      </w:pPr>
      <w:r>
        <w:t>1.1</w:t>
      </w:r>
      <w:r w:rsidR="00153068">
        <w:t>2</w:t>
      </w:r>
      <w:r>
        <w:t xml:space="preserve"> </w:t>
      </w:r>
      <w:r w:rsidR="00153068">
        <w:t>Definējot BOCTA j</w:t>
      </w:r>
      <w:r>
        <w:t>āpārskata Būvkomersantu un speciālistu OCTA principi, kuri dublējas</w:t>
      </w:r>
    </w:p>
    <w:p w14:paraId="23750757" w14:textId="2913ED50" w:rsidR="00CC4F3E" w:rsidRDefault="00402106" w:rsidP="00FC75AA">
      <w:pPr>
        <w:spacing w:line="240" w:lineRule="auto"/>
      </w:pPr>
      <w:r>
        <w:t>1.1</w:t>
      </w:r>
      <w:r w:rsidR="00153068">
        <w:t>3</w:t>
      </w:r>
      <w:r>
        <w:t xml:space="preserve"> </w:t>
      </w:r>
      <w:r w:rsidR="00153068">
        <w:t xml:space="preserve">Jāizveido </w:t>
      </w:r>
      <w:r>
        <w:t>ilgtspējīgas (zaļās) būves definīciju</w:t>
      </w:r>
      <w:r w:rsidR="00153068">
        <w:t xml:space="preserve"> un mērījumu sistēma</w:t>
      </w:r>
    </w:p>
    <w:p w14:paraId="5BDB09D6" w14:textId="68986DA7" w:rsidR="000F2E52" w:rsidRDefault="00153068" w:rsidP="000F2E52">
      <w:pPr>
        <w:spacing w:line="240" w:lineRule="auto"/>
      </w:pPr>
      <w:r>
        <w:t xml:space="preserve">1.14 </w:t>
      </w:r>
      <w:r w:rsidR="000F2E52">
        <w:t>~30 LBNu skaits jāoptimizē atbilstoši būtiskās prasības būvēm 7-9, LBNu virziens uz LVS, nevis, ka MK apstiprina tehniskos standartus</w:t>
      </w:r>
    </w:p>
    <w:p w14:paraId="3AB39562" w14:textId="0279992B" w:rsidR="00153068" w:rsidRDefault="00153068" w:rsidP="000F2E52">
      <w:pPr>
        <w:spacing w:line="240" w:lineRule="auto"/>
      </w:pPr>
      <w:r>
        <w:lastRenderedPageBreak/>
        <w:t>1.15 Vēlams uzturēt vizualizētu Būvniecības procesu un tās posmus (tsk. BIS izpildījumā)</w:t>
      </w:r>
    </w:p>
    <w:p w14:paraId="0DF5C198" w14:textId="43CC0A04" w:rsidR="00A07F43" w:rsidRDefault="00A07F43" w:rsidP="000F2E52">
      <w:pPr>
        <w:spacing w:line="240" w:lineRule="auto"/>
      </w:pPr>
      <w:r>
        <w:t>1.16 Jāprecizē būvkomersantu (juridiskas personas) un būvspeciālistu (fiziskas personas) profesionālo atbildību</w:t>
      </w:r>
    </w:p>
    <w:p w14:paraId="41C91FF0" w14:textId="5D7E8739" w:rsidR="000F2E52" w:rsidRDefault="00A07F43" w:rsidP="00FC75AA">
      <w:pPr>
        <w:spacing w:line="240" w:lineRule="auto"/>
      </w:pPr>
      <w:r>
        <w:t xml:space="preserve">1.17 </w:t>
      </w:r>
      <w:r>
        <w:t>Definīcijas BL, VBN un EBN nevienmēr sakrīt, vēlams izveidot vienkopus, kur tiek uzturētas unikālās būvniecības procesa definīcijas</w:t>
      </w:r>
    </w:p>
    <w:p w14:paraId="45393B49" w14:textId="2F1F6784" w:rsidR="00FC75AA" w:rsidRPr="00B20379" w:rsidRDefault="00FC75AA" w:rsidP="00FC75AA">
      <w:pPr>
        <w:spacing w:line="240" w:lineRule="auto"/>
        <w:rPr>
          <w:b/>
          <w:bCs/>
        </w:rPr>
      </w:pPr>
      <w:r w:rsidRPr="00B20379">
        <w:rPr>
          <w:b/>
          <w:bCs/>
        </w:rPr>
        <w:t>2. Vispārīgie būvnoteikumi</w:t>
      </w:r>
    </w:p>
    <w:p w14:paraId="62D304D9" w14:textId="0323AF49" w:rsidR="00FC75AA" w:rsidRDefault="00FC75AA" w:rsidP="00FC75AA">
      <w:pPr>
        <w:spacing w:line="240" w:lineRule="auto"/>
      </w:pPr>
      <w:r>
        <w:t xml:space="preserve">2.1. </w:t>
      </w:r>
      <w:r w:rsidR="00B20379">
        <w:t xml:space="preserve">Atvieglot 1 grupas būvēm </w:t>
      </w:r>
      <w:r w:rsidR="00195475">
        <w:t xml:space="preserve">vienkāršotas </w:t>
      </w:r>
      <w:r w:rsidR="00B20379">
        <w:t xml:space="preserve">atjaunošanas, pārbūves </w:t>
      </w:r>
      <w:r w:rsidR="00195475">
        <w:t xml:space="preserve">darbu </w:t>
      </w:r>
      <w:r w:rsidR="00B20379">
        <w:t>procedūras</w:t>
      </w:r>
    </w:p>
    <w:p w14:paraId="0B08460F" w14:textId="24E72BFC" w:rsidR="00195475" w:rsidRDefault="00195475" w:rsidP="00FC75AA">
      <w:pPr>
        <w:spacing w:line="240" w:lineRule="auto"/>
      </w:pPr>
      <w:r>
        <w:t xml:space="preserve">2.2. Būvprojektam tiek definētas tā tvēruma un detalizācijas projekta stadijas (gatavības pakāpēs), Izveidot atbilstību </w:t>
      </w:r>
      <w:r w:rsidR="00A07F43">
        <w:t xml:space="preserve">ar </w:t>
      </w:r>
      <w:r>
        <w:t>LVS 16310</w:t>
      </w:r>
    </w:p>
    <w:p w14:paraId="7FA7E208" w14:textId="4BA38CF4" w:rsidR="00195475" w:rsidRDefault="00195475" w:rsidP="00FC75AA">
      <w:pPr>
        <w:spacing w:line="240" w:lineRule="auto"/>
      </w:pPr>
      <w:r>
        <w:t>2.3.</w:t>
      </w:r>
      <w:r w:rsidR="00A07F43">
        <w:t xml:space="preserve"> Ieviest principu, ka VUGD piedalās būvprojekta ekspertīzēs, lai pieņemot ēku ekspluatācijā nav interpretācijas un neparedzētas izmaiņas</w:t>
      </w:r>
    </w:p>
    <w:p w14:paraId="5C635C82" w14:textId="789EF0B4" w:rsidR="00A07F43" w:rsidRDefault="00A07F43" w:rsidP="00FC75AA">
      <w:pPr>
        <w:spacing w:line="240" w:lineRule="auto"/>
      </w:pPr>
      <w:r>
        <w:t>2.4. Jāvienkāršo būvvaldē iesniedzamās dokumentācijas apjoms, bieži vien Būves un Projekta pamatinformācijas dublēšana un n veidlapām</w:t>
      </w:r>
    </w:p>
    <w:p w14:paraId="081004DD" w14:textId="5A16770A" w:rsidR="00B20379" w:rsidRDefault="000A459F" w:rsidP="00FC75AA">
      <w:pPr>
        <w:spacing w:line="240" w:lineRule="auto"/>
      </w:pPr>
      <w:r>
        <w:t>2.5. Kad saskaņoti projekta stadijas (tvērums un detalizācija) jāizveido atbilstošie BIM (digitālo būvprojektu stadiju tvērumu template)</w:t>
      </w:r>
    </w:p>
    <w:p w14:paraId="6A4827ED" w14:textId="407DF75F" w:rsidR="00B20379" w:rsidRPr="00195475" w:rsidRDefault="00B20379" w:rsidP="00FC75AA">
      <w:pPr>
        <w:spacing w:line="240" w:lineRule="auto"/>
        <w:rPr>
          <w:b/>
          <w:bCs/>
        </w:rPr>
      </w:pPr>
      <w:r w:rsidRPr="00195475">
        <w:rPr>
          <w:b/>
          <w:bCs/>
        </w:rPr>
        <w:t>3.Ēku būvnoteikumi</w:t>
      </w:r>
    </w:p>
    <w:p w14:paraId="3D7F214E" w14:textId="490D6F1E" w:rsidR="00D81668" w:rsidRDefault="00B20379" w:rsidP="00CC4F3E">
      <w:pPr>
        <w:spacing w:line="240" w:lineRule="auto"/>
      </w:pPr>
      <w:r>
        <w:t xml:space="preserve">3.1. Pārcelt uz </w:t>
      </w:r>
      <w:r w:rsidR="00195475">
        <w:t>Vispārīgiem būvnoteikumiem, atstājot pielikumos, nepieciešamos procesa posmu dokumentu template</w:t>
      </w:r>
      <w:r w:rsidR="00A07F43">
        <w:t>?</w:t>
      </w:r>
      <w:r w:rsidR="000A459F">
        <w:t>!</w:t>
      </w:r>
    </w:p>
    <w:p w14:paraId="7CA9AB07" w14:textId="36A3C7AB" w:rsidR="000A459F" w:rsidRDefault="00A07F43" w:rsidP="00CC4F3E">
      <w:pPr>
        <w:spacing w:line="240" w:lineRule="auto"/>
      </w:pPr>
      <w:r>
        <w:t xml:space="preserve">3.2. </w:t>
      </w:r>
      <w:r w:rsidR="000A459F">
        <w:t>Vienkāršot būvniecības regulējumu atbilstoši 3 ēku grupām, necenties aprakstīt dažādas projektēšanas un būvniecības tehnoloģijas, metodes, modeļus, fokuss uz būtisko gala rezultātu un apliecinājumu tā realizācijai</w:t>
      </w:r>
    </w:p>
    <w:p w14:paraId="594A8C31" w14:textId="2AE1929A" w:rsidR="00A07F43" w:rsidRDefault="000A459F" w:rsidP="00CC4F3E">
      <w:pPr>
        <w:spacing w:line="240" w:lineRule="auto"/>
      </w:pPr>
      <w:r>
        <w:t>3.3. I</w:t>
      </w:r>
      <w:r>
        <w:t>zveidot atbilstību ar LVS 16310</w:t>
      </w:r>
    </w:p>
    <w:p w14:paraId="0ACD30EF" w14:textId="1C5453D9" w:rsidR="00A07F43" w:rsidRPr="000A459F" w:rsidRDefault="00A07F43" w:rsidP="00CC4F3E">
      <w:pPr>
        <w:spacing w:line="240" w:lineRule="auto"/>
        <w:rPr>
          <w:b/>
          <w:bCs/>
        </w:rPr>
      </w:pPr>
      <w:r w:rsidRPr="000A459F">
        <w:rPr>
          <w:b/>
          <w:bCs/>
        </w:rPr>
        <w:t>4.Inženierbūvju būvnoteikumi</w:t>
      </w:r>
    </w:p>
    <w:p w14:paraId="0589200B" w14:textId="02DCA581" w:rsidR="000A459F" w:rsidRDefault="00A07F43" w:rsidP="00CC4F3E">
      <w:pPr>
        <w:spacing w:line="240" w:lineRule="auto"/>
      </w:pPr>
      <w:r>
        <w:t>4.1.</w:t>
      </w:r>
      <w:r w:rsidR="000A459F" w:rsidRPr="000A459F">
        <w:t xml:space="preserve"> </w:t>
      </w:r>
      <w:r w:rsidR="000A459F">
        <w:t>Izveidot atbilstību ar LVS 16310</w:t>
      </w:r>
    </w:p>
    <w:p w14:paraId="2CB98483" w14:textId="5E8A8351" w:rsidR="00B10B38" w:rsidRPr="00CC4F3E" w:rsidRDefault="00112BED">
      <w:pPr>
        <w:rPr>
          <w:b/>
          <w:bCs/>
        </w:rPr>
      </w:pPr>
      <w:r>
        <w:rPr>
          <w:b/>
          <w:bCs/>
        </w:rPr>
        <w:t>5</w:t>
      </w:r>
      <w:r w:rsidR="00D81668" w:rsidRPr="00CC4F3E">
        <w:rPr>
          <w:b/>
          <w:bCs/>
        </w:rPr>
        <w:t xml:space="preserve">.Būvniecības procesa </w:t>
      </w:r>
      <w:r w:rsidR="00CC4F3E">
        <w:rPr>
          <w:b/>
          <w:bCs/>
        </w:rPr>
        <w:t xml:space="preserve">(BL/VBN/ĒBN) </w:t>
      </w:r>
      <w:r w:rsidR="00D81668" w:rsidRPr="00CC4F3E">
        <w:rPr>
          <w:b/>
          <w:bCs/>
        </w:rPr>
        <w:t>vēlamie uzlabojumi</w:t>
      </w:r>
      <w:r w:rsidR="00B20379" w:rsidRPr="00CC4F3E">
        <w:rPr>
          <w:b/>
          <w:bCs/>
        </w:rPr>
        <w:t xml:space="preserve"> (pēc būtības 1.teikumā)</w:t>
      </w:r>
      <w:r w:rsidR="00D81668" w:rsidRPr="00CC4F3E">
        <w:rPr>
          <w:b/>
          <w:bCs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05"/>
        <w:gridCol w:w="1398"/>
        <w:gridCol w:w="1424"/>
        <w:gridCol w:w="1463"/>
        <w:gridCol w:w="1250"/>
        <w:gridCol w:w="1123"/>
        <w:gridCol w:w="1603"/>
        <w:gridCol w:w="1056"/>
        <w:gridCol w:w="1470"/>
        <w:gridCol w:w="1159"/>
        <w:gridCol w:w="1542"/>
      </w:tblGrid>
      <w:tr w:rsidR="00CC4F3E" w14:paraId="3D7675E8" w14:textId="6BCEBFDA" w:rsidTr="00CC4F3E">
        <w:tc>
          <w:tcPr>
            <w:tcW w:w="1905" w:type="dxa"/>
          </w:tcPr>
          <w:p w14:paraId="133B5320" w14:textId="38AA403C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  <w:r w:rsidRPr="00CC4F3E">
              <w:rPr>
                <w:rFonts w:ascii="Tahoma" w:hAnsi="Tahoma" w:cs="Tahoma"/>
                <w:sz w:val="20"/>
                <w:szCs w:val="20"/>
              </w:rPr>
              <w:t>Procesa dalībnieks/Procesa posms</w:t>
            </w:r>
          </w:p>
        </w:tc>
        <w:tc>
          <w:tcPr>
            <w:tcW w:w="1398" w:type="dxa"/>
          </w:tcPr>
          <w:p w14:paraId="65F0B649" w14:textId="27B5D8B8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  <w:r w:rsidRPr="00CC4F3E">
              <w:rPr>
                <w:rFonts w:ascii="Tahoma" w:hAnsi="Tahoma" w:cs="Tahoma"/>
                <w:sz w:val="20"/>
                <w:szCs w:val="20"/>
              </w:rPr>
              <w:t>Būvniecības ieceres inicializācija</w:t>
            </w:r>
          </w:p>
        </w:tc>
        <w:tc>
          <w:tcPr>
            <w:tcW w:w="1424" w:type="dxa"/>
          </w:tcPr>
          <w:p w14:paraId="5E8DE92E" w14:textId="76D23C65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  <w:r w:rsidRPr="00CC4F3E">
              <w:rPr>
                <w:rFonts w:ascii="Tahoma" w:hAnsi="Tahoma" w:cs="Tahoma"/>
                <w:sz w:val="20"/>
                <w:szCs w:val="20"/>
              </w:rPr>
              <w:t>Priekšizpētes</w:t>
            </w:r>
          </w:p>
        </w:tc>
        <w:tc>
          <w:tcPr>
            <w:tcW w:w="1463" w:type="dxa"/>
          </w:tcPr>
          <w:p w14:paraId="053781AD" w14:textId="1D9E0F94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  <w:r w:rsidRPr="00CC4F3E">
              <w:rPr>
                <w:rFonts w:ascii="Tahoma" w:hAnsi="Tahoma" w:cs="Tahoma"/>
                <w:sz w:val="20"/>
                <w:szCs w:val="20"/>
              </w:rPr>
              <w:t>Projektēšana</w:t>
            </w:r>
          </w:p>
        </w:tc>
        <w:tc>
          <w:tcPr>
            <w:tcW w:w="1250" w:type="dxa"/>
          </w:tcPr>
          <w:p w14:paraId="4A704A50" w14:textId="4A967E72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  <w:r w:rsidRPr="00CC4F3E">
              <w:rPr>
                <w:rFonts w:ascii="Tahoma" w:hAnsi="Tahoma" w:cs="Tahoma"/>
                <w:sz w:val="20"/>
                <w:szCs w:val="20"/>
              </w:rPr>
              <w:t>Būvprojekta ekspertīze</w:t>
            </w:r>
          </w:p>
        </w:tc>
        <w:tc>
          <w:tcPr>
            <w:tcW w:w="1123" w:type="dxa"/>
          </w:tcPr>
          <w:p w14:paraId="00B1DE81" w14:textId="2A854E11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  <w:r w:rsidRPr="00CC4F3E">
              <w:rPr>
                <w:rFonts w:ascii="Tahoma" w:hAnsi="Tahoma" w:cs="Tahoma"/>
                <w:sz w:val="20"/>
                <w:szCs w:val="20"/>
              </w:rPr>
              <w:t>Būvatļauja</w:t>
            </w:r>
          </w:p>
        </w:tc>
        <w:tc>
          <w:tcPr>
            <w:tcW w:w="1603" w:type="dxa"/>
          </w:tcPr>
          <w:p w14:paraId="62F7E503" w14:textId="13465114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  <w:r w:rsidRPr="00CC4F3E">
              <w:rPr>
                <w:rFonts w:ascii="Tahoma" w:hAnsi="Tahoma" w:cs="Tahoma"/>
                <w:sz w:val="20"/>
                <w:szCs w:val="20"/>
              </w:rPr>
              <w:t>Izmaiņas būvprojektā autoruzraudzība</w:t>
            </w:r>
          </w:p>
        </w:tc>
        <w:tc>
          <w:tcPr>
            <w:tcW w:w="1056" w:type="dxa"/>
          </w:tcPr>
          <w:p w14:paraId="0E8BEE7B" w14:textId="3419A23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  <w:r w:rsidRPr="00CC4F3E">
              <w:rPr>
                <w:rFonts w:ascii="Tahoma" w:hAnsi="Tahoma" w:cs="Tahoma"/>
                <w:sz w:val="20"/>
                <w:szCs w:val="20"/>
              </w:rPr>
              <w:t>Būvdarbi</w:t>
            </w:r>
          </w:p>
        </w:tc>
        <w:tc>
          <w:tcPr>
            <w:tcW w:w="1470" w:type="dxa"/>
          </w:tcPr>
          <w:p w14:paraId="3E3D11F2" w14:textId="242DDD35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  <w:r w:rsidRPr="00CC4F3E">
              <w:rPr>
                <w:rFonts w:ascii="Tahoma" w:hAnsi="Tahoma" w:cs="Tahoma"/>
                <w:sz w:val="20"/>
                <w:szCs w:val="20"/>
              </w:rPr>
              <w:t>Būvuzraudzība</w:t>
            </w:r>
          </w:p>
        </w:tc>
        <w:tc>
          <w:tcPr>
            <w:tcW w:w="1159" w:type="dxa"/>
          </w:tcPr>
          <w:p w14:paraId="3882E708" w14:textId="035050AC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  <w:r w:rsidRPr="00CC4F3E">
              <w:rPr>
                <w:rFonts w:ascii="Tahoma" w:hAnsi="Tahoma" w:cs="Tahoma"/>
                <w:sz w:val="20"/>
                <w:szCs w:val="20"/>
              </w:rPr>
              <w:t>Būvdarbu kontrole</w:t>
            </w:r>
          </w:p>
        </w:tc>
        <w:tc>
          <w:tcPr>
            <w:tcW w:w="1542" w:type="dxa"/>
          </w:tcPr>
          <w:p w14:paraId="75A30B9F" w14:textId="01CF01C4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  <w:r w:rsidRPr="00CC4F3E">
              <w:rPr>
                <w:rFonts w:ascii="Tahoma" w:hAnsi="Tahoma" w:cs="Tahoma"/>
                <w:sz w:val="20"/>
                <w:szCs w:val="20"/>
              </w:rPr>
              <w:t>Būves nodošana ekspluatācijā</w:t>
            </w:r>
          </w:p>
        </w:tc>
      </w:tr>
      <w:tr w:rsidR="00CC4F3E" w14:paraId="09F50F1C" w14:textId="0B01D5AA" w:rsidTr="00CC4F3E">
        <w:tc>
          <w:tcPr>
            <w:tcW w:w="1905" w:type="dxa"/>
          </w:tcPr>
          <w:p w14:paraId="049617A2" w14:textId="700F4A16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  <w:r w:rsidRPr="00CC4F3E">
              <w:rPr>
                <w:rFonts w:ascii="Tahoma" w:hAnsi="Tahoma" w:cs="Tahoma"/>
                <w:sz w:val="20"/>
                <w:szCs w:val="20"/>
              </w:rPr>
              <w:t>Pasūtītājs</w:t>
            </w:r>
          </w:p>
        </w:tc>
        <w:tc>
          <w:tcPr>
            <w:tcW w:w="1398" w:type="dxa"/>
          </w:tcPr>
          <w:p w14:paraId="5288AADF" w14:textId="5B8E44E5" w:rsidR="00195475" w:rsidRPr="00CC4F3E" w:rsidRDefault="00195475" w:rsidP="00195475">
            <w:pPr>
              <w:rPr>
                <w:rFonts w:ascii="Tahoma" w:hAnsi="Tahoma" w:cs="Tahoma"/>
                <w:sz w:val="20"/>
                <w:szCs w:val="20"/>
              </w:rPr>
            </w:pPr>
            <w:r w:rsidRPr="00CC4F3E">
              <w:rPr>
                <w:rFonts w:ascii="Tahoma" w:hAnsi="Tahoma" w:cs="Tahoma"/>
                <w:sz w:val="20"/>
                <w:szCs w:val="20"/>
              </w:rPr>
              <w:t>1.Atbild par būvniecības ieceri iniciē, koordinē, kontrolē no A-Z</w:t>
            </w:r>
          </w:p>
          <w:p w14:paraId="0D1546DF" w14:textId="24379389" w:rsidR="00B20379" w:rsidRPr="00CC4F3E" w:rsidRDefault="00195475" w:rsidP="00D81668">
            <w:pPr>
              <w:rPr>
                <w:rFonts w:ascii="Tahoma" w:hAnsi="Tahoma" w:cs="Tahoma"/>
                <w:sz w:val="20"/>
                <w:szCs w:val="20"/>
              </w:rPr>
            </w:pPr>
            <w:r w:rsidRPr="00CC4F3E">
              <w:rPr>
                <w:rFonts w:ascii="Tahoma" w:hAnsi="Tahoma" w:cs="Tahoma"/>
                <w:sz w:val="20"/>
                <w:szCs w:val="20"/>
              </w:rPr>
              <w:t>2.</w:t>
            </w:r>
            <w:r w:rsidR="00B20379" w:rsidRPr="00CC4F3E">
              <w:rPr>
                <w:rFonts w:ascii="Tahoma" w:hAnsi="Tahoma" w:cs="Tahoma"/>
                <w:sz w:val="20"/>
                <w:szCs w:val="20"/>
              </w:rPr>
              <w:t>Būvniecības OCTA ieviešana</w:t>
            </w:r>
          </w:p>
        </w:tc>
        <w:tc>
          <w:tcPr>
            <w:tcW w:w="1424" w:type="dxa"/>
          </w:tcPr>
          <w:p w14:paraId="044C8227" w14:textId="19303094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  <w:r w:rsidRPr="00CC4F3E">
              <w:rPr>
                <w:rFonts w:ascii="Tahoma" w:hAnsi="Tahoma" w:cs="Tahoma"/>
                <w:sz w:val="20"/>
                <w:szCs w:val="20"/>
              </w:rPr>
              <w:t>1.Vairāk izmanto FIDIC standartus</w:t>
            </w:r>
          </w:p>
        </w:tc>
        <w:tc>
          <w:tcPr>
            <w:tcW w:w="1463" w:type="dxa"/>
          </w:tcPr>
          <w:p w14:paraId="0629BAEF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dxa"/>
          </w:tcPr>
          <w:p w14:paraId="2F586387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3" w:type="dxa"/>
          </w:tcPr>
          <w:p w14:paraId="351E156B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3" w:type="dxa"/>
          </w:tcPr>
          <w:p w14:paraId="003F7440" w14:textId="42B1ABF1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6" w:type="dxa"/>
          </w:tcPr>
          <w:p w14:paraId="647A669A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70" w:type="dxa"/>
          </w:tcPr>
          <w:p w14:paraId="6858C516" w14:textId="2948AF50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9" w:type="dxa"/>
          </w:tcPr>
          <w:p w14:paraId="5E812D09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2" w:type="dxa"/>
          </w:tcPr>
          <w:p w14:paraId="606E9AD2" w14:textId="4EB5EAD2" w:rsidR="00B20379" w:rsidRPr="00CC4F3E" w:rsidRDefault="00AB6B5F">
            <w:pPr>
              <w:rPr>
                <w:rFonts w:ascii="Tahoma" w:hAnsi="Tahoma" w:cs="Tahoma"/>
                <w:sz w:val="20"/>
                <w:szCs w:val="20"/>
              </w:rPr>
            </w:pPr>
            <w:r w:rsidRPr="00CC4F3E">
              <w:rPr>
                <w:rFonts w:ascii="Tahoma" w:hAnsi="Tahoma" w:cs="Tahoma"/>
                <w:sz w:val="20"/>
                <w:szCs w:val="20"/>
              </w:rPr>
              <w:t>1.Izvērtēt nepieciešamību 3.grupas ēkām 5 gadi</w:t>
            </w:r>
          </w:p>
        </w:tc>
      </w:tr>
      <w:tr w:rsidR="00153068" w14:paraId="2E938195" w14:textId="77777777" w:rsidTr="00CC4F3E">
        <w:tc>
          <w:tcPr>
            <w:tcW w:w="1905" w:type="dxa"/>
          </w:tcPr>
          <w:p w14:paraId="755577CD" w14:textId="4D534EB1" w:rsidR="00153068" w:rsidRPr="00CC4F3E" w:rsidRDefault="0015306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Pasūtītāja iepirkumu veicēji</w:t>
            </w:r>
          </w:p>
        </w:tc>
        <w:tc>
          <w:tcPr>
            <w:tcW w:w="1398" w:type="dxa"/>
          </w:tcPr>
          <w:p w14:paraId="6AE1DC12" w14:textId="77777777" w:rsidR="00153068" w:rsidRPr="00CC4F3E" w:rsidRDefault="001530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4" w:type="dxa"/>
          </w:tcPr>
          <w:p w14:paraId="75C48E41" w14:textId="77777777" w:rsidR="00153068" w:rsidRPr="00CC4F3E" w:rsidRDefault="001530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3" w:type="dxa"/>
          </w:tcPr>
          <w:p w14:paraId="10924D3A" w14:textId="77777777" w:rsidR="00153068" w:rsidRPr="00CC4F3E" w:rsidRDefault="001530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dxa"/>
          </w:tcPr>
          <w:p w14:paraId="57A9560D" w14:textId="77777777" w:rsidR="00153068" w:rsidRPr="00CC4F3E" w:rsidRDefault="001530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3" w:type="dxa"/>
          </w:tcPr>
          <w:p w14:paraId="16572277" w14:textId="77777777" w:rsidR="00153068" w:rsidRPr="00CC4F3E" w:rsidRDefault="001530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3" w:type="dxa"/>
          </w:tcPr>
          <w:p w14:paraId="27D1FEBB" w14:textId="77777777" w:rsidR="00153068" w:rsidRPr="00CC4F3E" w:rsidRDefault="001530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6" w:type="dxa"/>
          </w:tcPr>
          <w:p w14:paraId="3E261B0F" w14:textId="77777777" w:rsidR="00153068" w:rsidRPr="00CC4F3E" w:rsidRDefault="001530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70" w:type="dxa"/>
          </w:tcPr>
          <w:p w14:paraId="56E8E118" w14:textId="77777777" w:rsidR="00153068" w:rsidRPr="00CC4F3E" w:rsidRDefault="001530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9" w:type="dxa"/>
          </w:tcPr>
          <w:p w14:paraId="3F103CF8" w14:textId="77777777" w:rsidR="00153068" w:rsidRPr="00CC4F3E" w:rsidRDefault="001530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2" w:type="dxa"/>
          </w:tcPr>
          <w:p w14:paraId="6CFFDB78" w14:textId="77777777" w:rsidR="00153068" w:rsidRPr="00CC4F3E" w:rsidRDefault="0015306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4F3E" w14:paraId="209F0F46" w14:textId="0E364FBF" w:rsidTr="00CC4F3E">
        <w:tc>
          <w:tcPr>
            <w:tcW w:w="1905" w:type="dxa"/>
          </w:tcPr>
          <w:p w14:paraId="19516610" w14:textId="39CE1E6B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  <w:r w:rsidRPr="00CC4F3E">
              <w:rPr>
                <w:rFonts w:ascii="Tahoma" w:hAnsi="Tahoma" w:cs="Tahoma"/>
                <w:sz w:val="20"/>
                <w:szCs w:val="20"/>
              </w:rPr>
              <w:t>Būvprojekta izstrādātājs</w:t>
            </w:r>
          </w:p>
        </w:tc>
        <w:tc>
          <w:tcPr>
            <w:tcW w:w="1398" w:type="dxa"/>
          </w:tcPr>
          <w:p w14:paraId="62C532D3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4" w:type="dxa"/>
          </w:tcPr>
          <w:p w14:paraId="423BBFA3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3" w:type="dxa"/>
          </w:tcPr>
          <w:p w14:paraId="5ADB0B1E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  <w:r w:rsidRPr="00CC4F3E">
              <w:rPr>
                <w:rFonts w:ascii="Tahoma" w:hAnsi="Tahoma" w:cs="Tahoma"/>
                <w:sz w:val="20"/>
                <w:szCs w:val="20"/>
              </w:rPr>
              <w:t>1.Jauns Būvprojekta LVS standarts</w:t>
            </w:r>
          </w:p>
          <w:p w14:paraId="0933BB24" w14:textId="77FE29BE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  <w:r w:rsidRPr="00CC4F3E">
              <w:rPr>
                <w:rFonts w:ascii="Tahoma" w:hAnsi="Tahoma" w:cs="Tahoma"/>
                <w:sz w:val="20"/>
                <w:szCs w:val="20"/>
              </w:rPr>
              <w:t>2.Būvprojekta BIM standarts</w:t>
            </w:r>
          </w:p>
        </w:tc>
        <w:tc>
          <w:tcPr>
            <w:tcW w:w="1250" w:type="dxa"/>
          </w:tcPr>
          <w:p w14:paraId="2501A451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3" w:type="dxa"/>
          </w:tcPr>
          <w:p w14:paraId="51BC6106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3" w:type="dxa"/>
          </w:tcPr>
          <w:p w14:paraId="59E70DE5" w14:textId="7A2F6386" w:rsidR="00B20379" w:rsidRPr="00CC4F3E" w:rsidRDefault="00AB6B5F">
            <w:pPr>
              <w:rPr>
                <w:rFonts w:ascii="Tahoma" w:hAnsi="Tahoma" w:cs="Tahoma"/>
                <w:sz w:val="20"/>
                <w:szCs w:val="20"/>
              </w:rPr>
            </w:pPr>
            <w:r w:rsidRPr="00CC4F3E">
              <w:rPr>
                <w:rFonts w:ascii="Tahoma" w:hAnsi="Tahoma" w:cs="Tahoma"/>
                <w:sz w:val="20"/>
                <w:szCs w:val="20"/>
              </w:rPr>
              <w:t>1.Precizēta kārtība, kurš atbildīgs par būvprojekta izmaiņu izstrādi</w:t>
            </w:r>
          </w:p>
        </w:tc>
        <w:tc>
          <w:tcPr>
            <w:tcW w:w="1056" w:type="dxa"/>
          </w:tcPr>
          <w:p w14:paraId="2C600B0F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70" w:type="dxa"/>
          </w:tcPr>
          <w:p w14:paraId="49EDA10E" w14:textId="46BF1A48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9" w:type="dxa"/>
          </w:tcPr>
          <w:p w14:paraId="31A166A0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2" w:type="dxa"/>
          </w:tcPr>
          <w:p w14:paraId="549E039D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4F3E" w14:paraId="2BCB26FB" w14:textId="4CFD84D6" w:rsidTr="00CC4F3E">
        <w:tc>
          <w:tcPr>
            <w:tcW w:w="1905" w:type="dxa"/>
          </w:tcPr>
          <w:p w14:paraId="1119B6F1" w14:textId="2E041ED5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  <w:r w:rsidRPr="00CC4F3E">
              <w:rPr>
                <w:rFonts w:ascii="Tahoma" w:hAnsi="Tahoma" w:cs="Tahoma"/>
                <w:sz w:val="20"/>
                <w:szCs w:val="20"/>
              </w:rPr>
              <w:t>Būvprojekta ekspertīzes veicējs</w:t>
            </w:r>
          </w:p>
        </w:tc>
        <w:tc>
          <w:tcPr>
            <w:tcW w:w="1398" w:type="dxa"/>
          </w:tcPr>
          <w:p w14:paraId="228BEC1B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4" w:type="dxa"/>
          </w:tcPr>
          <w:p w14:paraId="6CED9642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3" w:type="dxa"/>
          </w:tcPr>
          <w:p w14:paraId="71AA42A2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dxa"/>
          </w:tcPr>
          <w:p w14:paraId="45FD5312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3" w:type="dxa"/>
          </w:tcPr>
          <w:p w14:paraId="19D7D191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3" w:type="dxa"/>
          </w:tcPr>
          <w:p w14:paraId="5B5B0425" w14:textId="42E30230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6" w:type="dxa"/>
          </w:tcPr>
          <w:p w14:paraId="1D9BB10E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70" w:type="dxa"/>
          </w:tcPr>
          <w:p w14:paraId="44422E84" w14:textId="7B94FC30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9" w:type="dxa"/>
          </w:tcPr>
          <w:p w14:paraId="2927EFB0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2" w:type="dxa"/>
          </w:tcPr>
          <w:p w14:paraId="34DDE7AD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4F3E" w14:paraId="2D04C5CB" w14:textId="400D9AD5" w:rsidTr="00CC4F3E">
        <w:tc>
          <w:tcPr>
            <w:tcW w:w="1905" w:type="dxa"/>
          </w:tcPr>
          <w:p w14:paraId="0A9AFA82" w14:textId="1E721B76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  <w:r w:rsidRPr="00CC4F3E">
              <w:rPr>
                <w:rFonts w:ascii="Tahoma" w:hAnsi="Tahoma" w:cs="Tahoma"/>
                <w:sz w:val="20"/>
                <w:szCs w:val="20"/>
              </w:rPr>
              <w:t>Būvdarbu veicējs</w:t>
            </w:r>
            <w:r w:rsidR="00112BED">
              <w:rPr>
                <w:rFonts w:ascii="Tahoma" w:hAnsi="Tahoma" w:cs="Tahoma"/>
                <w:sz w:val="20"/>
                <w:szCs w:val="20"/>
              </w:rPr>
              <w:t xml:space="preserve"> (ĢU un AU)</w:t>
            </w:r>
          </w:p>
        </w:tc>
        <w:tc>
          <w:tcPr>
            <w:tcW w:w="1398" w:type="dxa"/>
          </w:tcPr>
          <w:p w14:paraId="76890F16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4" w:type="dxa"/>
          </w:tcPr>
          <w:p w14:paraId="0314B23C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3" w:type="dxa"/>
          </w:tcPr>
          <w:p w14:paraId="4C06695C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dxa"/>
          </w:tcPr>
          <w:p w14:paraId="239FB9F7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3" w:type="dxa"/>
          </w:tcPr>
          <w:p w14:paraId="24F8B2B1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3" w:type="dxa"/>
          </w:tcPr>
          <w:p w14:paraId="14456FCC" w14:textId="078F7142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6" w:type="dxa"/>
          </w:tcPr>
          <w:p w14:paraId="6347E8E0" w14:textId="62B96961" w:rsidR="00B20379" w:rsidRPr="00CC4F3E" w:rsidRDefault="00AB6B5F">
            <w:pPr>
              <w:rPr>
                <w:rFonts w:ascii="Tahoma" w:hAnsi="Tahoma" w:cs="Tahoma"/>
                <w:sz w:val="20"/>
                <w:szCs w:val="20"/>
              </w:rPr>
            </w:pPr>
            <w:r w:rsidRPr="00CC4F3E">
              <w:rPr>
                <w:rFonts w:ascii="Tahoma" w:hAnsi="Tahoma" w:cs="Tahoma"/>
                <w:sz w:val="20"/>
                <w:szCs w:val="20"/>
              </w:rPr>
              <w:t>1.Precizēt DOP/DVP</w:t>
            </w:r>
          </w:p>
        </w:tc>
        <w:tc>
          <w:tcPr>
            <w:tcW w:w="1470" w:type="dxa"/>
          </w:tcPr>
          <w:p w14:paraId="14E32C65" w14:textId="78E4240C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9" w:type="dxa"/>
          </w:tcPr>
          <w:p w14:paraId="662431AE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2" w:type="dxa"/>
          </w:tcPr>
          <w:p w14:paraId="64F9C60D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4F3E" w14:paraId="0D6F5AE6" w14:textId="5D2FD768" w:rsidTr="00CC4F3E">
        <w:tc>
          <w:tcPr>
            <w:tcW w:w="1905" w:type="dxa"/>
          </w:tcPr>
          <w:p w14:paraId="2BA334D7" w14:textId="4B651AF0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  <w:r w:rsidRPr="00CC4F3E">
              <w:rPr>
                <w:rFonts w:ascii="Tahoma" w:hAnsi="Tahoma" w:cs="Tahoma"/>
                <w:sz w:val="20"/>
                <w:szCs w:val="20"/>
              </w:rPr>
              <w:t>Būvuzraugs</w:t>
            </w:r>
          </w:p>
        </w:tc>
        <w:tc>
          <w:tcPr>
            <w:tcW w:w="1398" w:type="dxa"/>
          </w:tcPr>
          <w:p w14:paraId="2F2EE4CA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4" w:type="dxa"/>
          </w:tcPr>
          <w:p w14:paraId="350BD434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3" w:type="dxa"/>
          </w:tcPr>
          <w:p w14:paraId="21D898EC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dxa"/>
          </w:tcPr>
          <w:p w14:paraId="4DDD3EC8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3" w:type="dxa"/>
          </w:tcPr>
          <w:p w14:paraId="3D45E72E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3" w:type="dxa"/>
          </w:tcPr>
          <w:p w14:paraId="654E3BA0" w14:textId="73EBEF3D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6" w:type="dxa"/>
          </w:tcPr>
          <w:p w14:paraId="060BD78C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70" w:type="dxa"/>
          </w:tcPr>
          <w:p w14:paraId="07CAAD6D" w14:textId="58BDD7C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9" w:type="dxa"/>
          </w:tcPr>
          <w:p w14:paraId="3D08E794" w14:textId="133CB1C3" w:rsidR="00B20379" w:rsidRPr="00CC4F3E" w:rsidRDefault="00AB6B5F">
            <w:pPr>
              <w:rPr>
                <w:rFonts w:ascii="Tahoma" w:hAnsi="Tahoma" w:cs="Tahoma"/>
                <w:sz w:val="20"/>
                <w:szCs w:val="20"/>
              </w:rPr>
            </w:pPr>
            <w:r w:rsidRPr="00CC4F3E">
              <w:rPr>
                <w:rFonts w:ascii="Tahoma" w:hAnsi="Tahoma" w:cs="Tahoma"/>
                <w:sz w:val="20"/>
                <w:szCs w:val="20"/>
              </w:rPr>
              <w:t>1.Precizēta kārtība, kad tiek apturēti būvdarbi</w:t>
            </w:r>
          </w:p>
        </w:tc>
        <w:tc>
          <w:tcPr>
            <w:tcW w:w="1542" w:type="dxa"/>
          </w:tcPr>
          <w:p w14:paraId="0F67A632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4F3E" w14:paraId="40CE5CFF" w14:textId="165F97D8" w:rsidTr="00CC4F3E">
        <w:tc>
          <w:tcPr>
            <w:tcW w:w="1905" w:type="dxa"/>
          </w:tcPr>
          <w:p w14:paraId="4E64AA67" w14:textId="5F878082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  <w:r w:rsidRPr="00CC4F3E">
              <w:rPr>
                <w:rFonts w:ascii="Tahoma" w:hAnsi="Tahoma" w:cs="Tahoma"/>
                <w:sz w:val="20"/>
                <w:szCs w:val="20"/>
              </w:rPr>
              <w:t>BVKB</w:t>
            </w:r>
          </w:p>
        </w:tc>
        <w:tc>
          <w:tcPr>
            <w:tcW w:w="1398" w:type="dxa"/>
          </w:tcPr>
          <w:p w14:paraId="06EA08B7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4" w:type="dxa"/>
          </w:tcPr>
          <w:p w14:paraId="5B5CF90B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3" w:type="dxa"/>
          </w:tcPr>
          <w:p w14:paraId="18CB0D6A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dxa"/>
          </w:tcPr>
          <w:p w14:paraId="0EA6A536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3" w:type="dxa"/>
          </w:tcPr>
          <w:p w14:paraId="6D5FF561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3" w:type="dxa"/>
          </w:tcPr>
          <w:p w14:paraId="450A13EA" w14:textId="3DC298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6" w:type="dxa"/>
          </w:tcPr>
          <w:p w14:paraId="59B296A0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70" w:type="dxa"/>
          </w:tcPr>
          <w:p w14:paraId="17599E3D" w14:textId="0F58B8B4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9" w:type="dxa"/>
          </w:tcPr>
          <w:p w14:paraId="02056F42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2" w:type="dxa"/>
          </w:tcPr>
          <w:p w14:paraId="6C50FE7A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4F3E" w14:paraId="66A09A7F" w14:textId="7A3F7352" w:rsidTr="00CC4F3E">
        <w:tc>
          <w:tcPr>
            <w:tcW w:w="1905" w:type="dxa"/>
          </w:tcPr>
          <w:p w14:paraId="77CF8F6B" w14:textId="7B6A6E4E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  <w:r w:rsidRPr="00CC4F3E">
              <w:rPr>
                <w:rFonts w:ascii="Tahoma" w:hAnsi="Tahoma" w:cs="Tahoma"/>
                <w:sz w:val="20"/>
                <w:szCs w:val="20"/>
              </w:rPr>
              <w:t>Būvvalde</w:t>
            </w:r>
          </w:p>
        </w:tc>
        <w:tc>
          <w:tcPr>
            <w:tcW w:w="1398" w:type="dxa"/>
          </w:tcPr>
          <w:p w14:paraId="70BDF8B3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4" w:type="dxa"/>
          </w:tcPr>
          <w:p w14:paraId="42FADC8B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3" w:type="dxa"/>
          </w:tcPr>
          <w:p w14:paraId="2CEBA188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dxa"/>
          </w:tcPr>
          <w:p w14:paraId="2BFE2FAB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3" w:type="dxa"/>
          </w:tcPr>
          <w:p w14:paraId="0AB04534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3" w:type="dxa"/>
          </w:tcPr>
          <w:p w14:paraId="67CE9FB2" w14:textId="15557683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6" w:type="dxa"/>
          </w:tcPr>
          <w:p w14:paraId="1DE8CD45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70" w:type="dxa"/>
          </w:tcPr>
          <w:p w14:paraId="152BD7E9" w14:textId="33494BAC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9" w:type="dxa"/>
          </w:tcPr>
          <w:p w14:paraId="39445B2D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2" w:type="dxa"/>
          </w:tcPr>
          <w:p w14:paraId="6F380B4B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4F3E" w14:paraId="5381CA14" w14:textId="54163BD9" w:rsidTr="00CC4F3E">
        <w:tc>
          <w:tcPr>
            <w:tcW w:w="1905" w:type="dxa"/>
          </w:tcPr>
          <w:p w14:paraId="0F1B2F44" w14:textId="2621A315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  <w:r w:rsidRPr="00CC4F3E">
              <w:rPr>
                <w:rFonts w:ascii="Tahoma" w:hAnsi="Tahoma" w:cs="Tahoma"/>
                <w:sz w:val="20"/>
                <w:szCs w:val="20"/>
              </w:rPr>
              <w:t>Inženierkonsultants</w:t>
            </w:r>
          </w:p>
        </w:tc>
        <w:tc>
          <w:tcPr>
            <w:tcW w:w="1398" w:type="dxa"/>
          </w:tcPr>
          <w:p w14:paraId="20F106EB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4" w:type="dxa"/>
          </w:tcPr>
          <w:p w14:paraId="59A31639" w14:textId="7C7670D1" w:rsidR="00B20379" w:rsidRPr="00CC4F3E" w:rsidRDefault="00AB6B5F">
            <w:pPr>
              <w:rPr>
                <w:rFonts w:ascii="Tahoma" w:hAnsi="Tahoma" w:cs="Tahoma"/>
                <w:sz w:val="20"/>
                <w:szCs w:val="20"/>
              </w:rPr>
            </w:pPr>
            <w:r w:rsidRPr="00CC4F3E">
              <w:rPr>
                <w:rFonts w:ascii="Tahoma" w:hAnsi="Tahoma" w:cs="Tahoma"/>
                <w:sz w:val="20"/>
                <w:szCs w:val="20"/>
              </w:rPr>
              <w:t>1.Konsultāciju nodevumu definēšana</w:t>
            </w:r>
          </w:p>
        </w:tc>
        <w:tc>
          <w:tcPr>
            <w:tcW w:w="1463" w:type="dxa"/>
          </w:tcPr>
          <w:p w14:paraId="60987307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dxa"/>
          </w:tcPr>
          <w:p w14:paraId="6EF7F29C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3" w:type="dxa"/>
          </w:tcPr>
          <w:p w14:paraId="7D1F4BC2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3" w:type="dxa"/>
          </w:tcPr>
          <w:p w14:paraId="065390A4" w14:textId="275B858D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6" w:type="dxa"/>
          </w:tcPr>
          <w:p w14:paraId="2C2F7C65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70" w:type="dxa"/>
          </w:tcPr>
          <w:p w14:paraId="73BF0302" w14:textId="071783FF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9" w:type="dxa"/>
          </w:tcPr>
          <w:p w14:paraId="298071EF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2" w:type="dxa"/>
          </w:tcPr>
          <w:p w14:paraId="7402DA8E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4F3E" w14:paraId="467E0970" w14:textId="77777777" w:rsidTr="00CC4F3E">
        <w:tc>
          <w:tcPr>
            <w:tcW w:w="1905" w:type="dxa"/>
          </w:tcPr>
          <w:p w14:paraId="1D6BF108" w14:textId="3E24037D" w:rsidR="00B20379" w:rsidRPr="00CC4F3E" w:rsidRDefault="00AB6B5F">
            <w:pPr>
              <w:rPr>
                <w:rFonts w:ascii="Tahoma" w:hAnsi="Tahoma" w:cs="Tahoma"/>
                <w:sz w:val="20"/>
                <w:szCs w:val="20"/>
              </w:rPr>
            </w:pPr>
            <w:r w:rsidRPr="00CC4F3E">
              <w:rPr>
                <w:rFonts w:ascii="Tahoma" w:hAnsi="Tahoma" w:cs="Tahoma"/>
                <w:sz w:val="20"/>
                <w:szCs w:val="20"/>
              </w:rPr>
              <w:t>Inženiertīklu turētāji</w:t>
            </w:r>
            <w:r w:rsidR="000A459F">
              <w:rPr>
                <w:rFonts w:ascii="Tahoma" w:hAnsi="Tahoma" w:cs="Tahoma"/>
                <w:sz w:val="20"/>
                <w:szCs w:val="20"/>
              </w:rPr>
              <w:t xml:space="preserve"> (piemēram  TeT, ST, RŪ, RS, …)</w:t>
            </w:r>
          </w:p>
        </w:tc>
        <w:tc>
          <w:tcPr>
            <w:tcW w:w="1398" w:type="dxa"/>
          </w:tcPr>
          <w:p w14:paraId="510A8C42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4" w:type="dxa"/>
          </w:tcPr>
          <w:p w14:paraId="1CB39D57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3" w:type="dxa"/>
          </w:tcPr>
          <w:p w14:paraId="31A7D285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dxa"/>
          </w:tcPr>
          <w:p w14:paraId="0E440FD6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3" w:type="dxa"/>
          </w:tcPr>
          <w:p w14:paraId="64203E36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3" w:type="dxa"/>
          </w:tcPr>
          <w:p w14:paraId="43FF83AB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6" w:type="dxa"/>
          </w:tcPr>
          <w:p w14:paraId="5BC24688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70" w:type="dxa"/>
          </w:tcPr>
          <w:p w14:paraId="3C6B2019" w14:textId="34C3EF5B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9" w:type="dxa"/>
          </w:tcPr>
          <w:p w14:paraId="74BB24EA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2" w:type="dxa"/>
          </w:tcPr>
          <w:p w14:paraId="4A8409F0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4F3E" w14:paraId="3C34A760" w14:textId="77777777" w:rsidTr="00CC4F3E">
        <w:tc>
          <w:tcPr>
            <w:tcW w:w="1905" w:type="dxa"/>
          </w:tcPr>
          <w:p w14:paraId="45049D2A" w14:textId="3C8E898A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  <w:r w:rsidRPr="00CC4F3E">
              <w:rPr>
                <w:rFonts w:ascii="Tahoma" w:hAnsi="Tahoma" w:cs="Tahoma"/>
                <w:sz w:val="20"/>
                <w:szCs w:val="20"/>
              </w:rPr>
              <w:t>EM</w:t>
            </w:r>
          </w:p>
        </w:tc>
        <w:tc>
          <w:tcPr>
            <w:tcW w:w="1398" w:type="dxa"/>
          </w:tcPr>
          <w:p w14:paraId="5D0E1BF6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4" w:type="dxa"/>
          </w:tcPr>
          <w:p w14:paraId="0153A60E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3" w:type="dxa"/>
          </w:tcPr>
          <w:p w14:paraId="011619F7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dxa"/>
          </w:tcPr>
          <w:p w14:paraId="47EED905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3" w:type="dxa"/>
          </w:tcPr>
          <w:p w14:paraId="31087450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3" w:type="dxa"/>
          </w:tcPr>
          <w:p w14:paraId="2C62E3FA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6" w:type="dxa"/>
          </w:tcPr>
          <w:p w14:paraId="189A6221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70" w:type="dxa"/>
          </w:tcPr>
          <w:p w14:paraId="68D0A929" w14:textId="4718AC64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9" w:type="dxa"/>
          </w:tcPr>
          <w:p w14:paraId="27F684B4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2" w:type="dxa"/>
          </w:tcPr>
          <w:p w14:paraId="374DBC11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4F3E" w14:paraId="19A384AA" w14:textId="77777777" w:rsidTr="00CC4F3E">
        <w:tc>
          <w:tcPr>
            <w:tcW w:w="1905" w:type="dxa"/>
          </w:tcPr>
          <w:p w14:paraId="6745A7A0" w14:textId="1690A23C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  <w:r w:rsidRPr="00CC4F3E">
              <w:rPr>
                <w:rFonts w:ascii="Tahoma" w:hAnsi="Tahoma" w:cs="Tahoma"/>
                <w:sz w:val="20"/>
                <w:szCs w:val="20"/>
              </w:rPr>
              <w:t>VUGD</w:t>
            </w:r>
          </w:p>
        </w:tc>
        <w:tc>
          <w:tcPr>
            <w:tcW w:w="1398" w:type="dxa"/>
          </w:tcPr>
          <w:p w14:paraId="763CA207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4" w:type="dxa"/>
          </w:tcPr>
          <w:p w14:paraId="0F20DEE2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3" w:type="dxa"/>
          </w:tcPr>
          <w:p w14:paraId="7B132CC9" w14:textId="1C6734C2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  <w:r w:rsidRPr="00CC4F3E">
              <w:rPr>
                <w:rFonts w:ascii="Tahoma" w:hAnsi="Tahoma" w:cs="Tahoma"/>
                <w:sz w:val="20"/>
                <w:szCs w:val="20"/>
              </w:rPr>
              <w:t>1.Nav obligāts, atbildība projektētājiem</w:t>
            </w:r>
          </w:p>
        </w:tc>
        <w:tc>
          <w:tcPr>
            <w:tcW w:w="1250" w:type="dxa"/>
          </w:tcPr>
          <w:p w14:paraId="29AA0D10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3" w:type="dxa"/>
          </w:tcPr>
          <w:p w14:paraId="7BC3E3F8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3" w:type="dxa"/>
          </w:tcPr>
          <w:p w14:paraId="250D9409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6" w:type="dxa"/>
          </w:tcPr>
          <w:p w14:paraId="14F4E953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70" w:type="dxa"/>
          </w:tcPr>
          <w:p w14:paraId="12A7D6A5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9" w:type="dxa"/>
          </w:tcPr>
          <w:p w14:paraId="4BE221FA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2" w:type="dxa"/>
          </w:tcPr>
          <w:p w14:paraId="3D3E49D7" w14:textId="77777777" w:rsidR="00B20379" w:rsidRPr="00CC4F3E" w:rsidRDefault="00B2037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459F" w14:paraId="07924822" w14:textId="77777777" w:rsidTr="00CC4F3E">
        <w:tc>
          <w:tcPr>
            <w:tcW w:w="1905" w:type="dxa"/>
          </w:tcPr>
          <w:p w14:paraId="6559F115" w14:textId="1F7D5D59" w:rsidR="000A459F" w:rsidRPr="00CC4F3E" w:rsidRDefault="000A459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Būvmateriālu ražotāji</w:t>
            </w:r>
          </w:p>
        </w:tc>
        <w:tc>
          <w:tcPr>
            <w:tcW w:w="1398" w:type="dxa"/>
          </w:tcPr>
          <w:p w14:paraId="46829D2D" w14:textId="77777777" w:rsidR="000A459F" w:rsidRPr="00CC4F3E" w:rsidRDefault="000A45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4" w:type="dxa"/>
          </w:tcPr>
          <w:p w14:paraId="1BD4AC6E" w14:textId="77777777" w:rsidR="000A459F" w:rsidRPr="00CC4F3E" w:rsidRDefault="000A45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3" w:type="dxa"/>
          </w:tcPr>
          <w:p w14:paraId="48E7ACB6" w14:textId="77777777" w:rsidR="000A459F" w:rsidRPr="00CC4F3E" w:rsidRDefault="000A45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dxa"/>
          </w:tcPr>
          <w:p w14:paraId="7AD99728" w14:textId="77777777" w:rsidR="000A459F" w:rsidRPr="00CC4F3E" w:rsidRDefault="000A45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3" w:type="dxa"/>
          </w:tcPr>
          <w:p w14:paraId="0888DFF5" w14:textId="77777777" w:rsidR="000A459F" w:rsidRPr="00CC4F3E" w:rsidRDefault="000A45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3" w:type="dxa"/>
          </w:tcPr>
          <w:p w14:paraId="06046863" w14:textId="77777777" w:rsidR="000A459F" w:rsidRPr="00CC4F3E" w:rsidRDefault="000A45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6" w:type="dxa"/>
          </w:tcPr>
          <w:p w14:paraId="72256226" w14:textId="77777777" w:rsidR="000A459F" w:rsidRPr="00CC4F3E" w:rsidRDefault="000A45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70" w:type="dxa"/>
          </w:tcPr>
          <w:p w14:paraId="1F3330E3" w14:textId="77777777" w:rsidR="000A459F" w:rsidRPr="00CC4F3E" w:rsidRDefault="000A45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9" w:type="dxa"/>
          </w:tcPr>
          <w:p w14:paraId="09E7294B" w14:textId="77777777" w:rsidR="000A459F" w:rsidRPr="00CC4F3E" w:rsidRDefault="000A45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2" w:type="dxa"/>
          </w:tcPr>
          <w:p w14:paraId="0427D7E6" w14:textId="77777777" w:rsidR="000A459F" w:rsidRPr="00CC4F3E" w:rsidRDefault="000A459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459F" w14:paraId="2F7FED91" w14:textId="77777777" w:rsidTr="00CC4F3E">
        <w:tc>
          <w:tcPr>
            <w:tcW w:w="1905" w:type="dxa"/>
          </w:tcPr>
          <w:p w14:paraId="493E10F3" w14:textId="598CEF94" w:rsidR="000A459F" w:rsidRDefault="000A459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Būvmateriālu tirgotāji</w:t>
            </w:r>
          </w:p>
        </w:tc>
        <w:tc>
          <w:tcPr>
            <w:tcW w:w="1398" w:type="dxa"/>
          </w:tcPr>
          <w:p w14:paraId="6D1D1FCE" w14:textId="77777777" w:rsidR="000A459F" w:rsidRPr="00CC4F3E" w:rsidRDefault="000A45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4" w:type="dxa"/>
          </w:tcPr>
          <w:p w14:paraId="115A0066" w14:textId="77777777" w:rsidR="000A459F" w:rsidRPr="00CC4F3E" w:rsidRDefault="000A45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3" w:type="dxa"/>
          </w:tcPr>
          <w:p w14:paraId="44CE0586" w14:textId="77777777" w:rsidR="000A459F" w:rsidRPr="00CC4F3E" w:rsidRDefault="000A45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dxa"/>
          </w:tcPr>
          <w:p w14:paraId="2EB6AF8F" w14:textId="77777777" w:rsidR="000A459F" w:rsidRPr="00CC4F3E" w:rsidRDefault="000A45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3" w:type="dxa"/>
          </w:tcPr>
          <w:p w14:paraId="3179DE89" w14:textId="77777777" w:rsidR="000A459F" w:rsidRPr="00CC4F3E" w:rsidRDefault="000A45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3" w:type="dxa"/>
          </w:tcPr>
          <w:p w14:paraId="2B5B0297" w14:textId="77777777" w:rsidR="000A459F" w:rsidRPr="00CC4F3E" w:rsidRDefault="000A45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6" w:type="dxa"/>
          </w:tcPr>
          <w:p w14:paraId="5D7F2602" w14:textId="77777777" w:rsidR="000A459F" w:rsidRPr="00CC4F3E" w:rsidRDefault="000A45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70" w:type="dxa"/>
          </w:tcPr>
          <w:p w14:paraId="71E1FBAE" w14:textId="77777777" w:rsidR="000A459F" w:rsidRPr="00CC4F3E" w:rsidRDefault="000A45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9" w:type="dxa"/>
          </w:tcPr>
          <w:p w14:paraId="05814411" w14:textId="77777777" w:rsidR="000A459F" w:rsidRPr="00CC4F3E" w:rsidRDefault="000A45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2" w:type="dxa"/>
          </w:tcPr>
          <w:p w14:paraId="4B1CEB69" w14:textId="77777777" w:rsidR="000A459F" w:rsidRPr="00CC4F3E" w:rsidRDefault="000A459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459F" w14:paraId="70FA5858" w14:textId="77777777" w:rsidTr="00CC4F3E">
        <w:tc>
          <w:tcPr>
            <w:tcW w:w="1905" w:type="dxa"/>
          </w:tcPr>
          <w:p w14:paraId="117CFA71" w14:textId="47383C6F" w:rsidR="000A459F" w:rsidRDefault="000A459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PTAC</w:t>
            </w:r>
          </w:p>
        </w:tc>
        <w:tc>
          <w:tcPr>
            <w:tcW w:w="1398" w:type="dxa"/>
          </w:tcPr>
          <w:p w14:paraId="02A089CF" w14:textId="77777777" w:rsidR="000A459F" w:rsidRPr="00CC4F3E" w:rsidRDefault="000A45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4" w:type="dxa"/>
          </w:tcPr>
          <w:p w14:paraId="63D38BFC" w14:textId="77777777" w:rsidR="000A459F" w:rsidRPr="00CC4F3E" w:rsidRDefault="000A45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3" w:type="dxa"/>
          </w:tcPr>
          <w:p w14:paraId="45AE2ED2" w14:textId="77777777" w:rsidR="000A459F" w:rsidRPr="00CC4F3E" w:rsidRDefault="000A45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dxa"/>
          </w:tcPr>
          <w:p w14:paraId="46470AD3" w14:textId="77777777" w:rsidR="000A459F" w:rsidRPr="00CC4F3E" w:rsidRDefault="000A45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3" w:type="dxa"/>
          </w:tcPr>
          <w:p w14:paraId="2E772701" w14:textId="77777777" w:rsidR="000A459F" w:rsidRPr="00CC4F3E" w:rsidRDefault="000A45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3" w:type="dxa"/>
          </w:tcPr>
          <w:p w14:paraId="2C202FD9" w14:textId="77777777" w:rsidR="000A459F" w:rsidRPr="00CC4F3E" w:rsidRDefault="000A45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6" w:type="dxa"/>
          </w:tcPr>
          <w:p w14:paraId="69D8738B" w14:textId="77777777" w:rsidR="000A459F" w:rsidRPr="00CC4F3E" w:rsidRDefault="000A45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70" w:type="dxa"/>
          </w:tcPr>
          <w:p w14:paraId="2FD581ED" w14:textId="77777777" w:rsidR="000A459F" w:rsidRPr="00CC4F3E" w:rsidRDefault="000A45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9" w:type="dxa"/>
          </w:tcPr>
          <w:p w14:paraId="2CE62030" w14:textId="77777777" w:rsidR="000A459F" w:rsidRPr="00CC4F3E" w:rsidRDefault="000A45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2" w:type="dxa"/>
          </w:tcPr>
          <w:p w14:paraId="136DA908" w14:textId="77777777" w:rsidR="000A459F" w:rsidRPr="00CC4F3E" w:rsidRDefault="000A459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459F" w14:paraId="037D45A9" w14:textId="77777777" w:rsidTr="00CC4F3E">
        <w:tc>
          <w:tcPr>
            <w:tcW w:w="1905" w:type="dxa"/>
          </w:tcPr>
          <w:p w14:paraId="278F9313" w14:textId="4FF265E9" w:rsidR="000A459F" w:rsidRDefault="000A459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</w:t>
            </w:r>
          </w:p>
        </w:tc>
        <w:tc>
          <w:tcPr>
            <w:tcW w:w="1398" w:type="dxa"/>
          </w:tcPr>
          <w:p w14:paraId="4A09F7F3" w14:textId="77777777" w:rsidR="000A459F" w:rsidRPr="00CC4F3E" w:rsidRDefault="000A45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4" w:type="dxa"/>
          </w:tcPr>
          <w:p w14:paraId="7B79FA05" w14:textId="77777777" w:rsidR="000A459F" w:rsidRPr="00CC4F3E" w:rsidRDefault="000A45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3" w:type="dxa"/>
          </w:tcPr>
          <w:p w14:paraId="11797C5E" w14:textId="77777777" w:rsidR="000A459F" w:rsidRPr="00CC4F3E" w:rsidRDefault="000A45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dxa"/>
          </w:tcPr>
          <w:p w14:paraId="7CA4E103" w14:textId="77777777" w:rsidR="000A459F" w:rsidRPr="00CC4F3E" w:rsidRDefault="000A45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3" w:type="dxa"/>
          </w:tcPr>
          <w:p w14:paraId="5C591923" w14:textId="77777777" w:rsidR="000A459F" w:rsidRPr="00CC4F3E" w:rsidRDefault="000A45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3" w:type="dxa"/>
          </w:tcPr>
          <w:p w14:paraId="61264707" w14:textId="77777777" w:rsidR="000A459F" w:rsidRPr="00CC4F3E" w:rsidRDefault="000A45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6" w:type="dxa"/>
          </w:tcPr>
          <w:p w14:paraId="147FC64A" w14:textId="77777777" w:rsidR="000A459F" w:rsidRPr="00CC4F3E" w:rsidRDefault="000A45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70" w:type="dxa"/>
          </w:tcPr>
          <w:p w14:paraId="04E6CA32" w14:textId="77777777" w:rsidR="000A459F" w:rsidRPr="00CC4F3E" w:rsidRDefault="000A45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9" w:type="dxa"/>
          </w:tcPr>
          <w:p w14:paraId="24E79451" w14:textId="77777777" w:rsidR="000A459F" w:rsidRPr="00CC4F3E" w:rsidRDefault="000A45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2" w:type="dxa"/>
          </w:tcPr>
          <w:p w14:paraId="6331AB16" w14:textId="77777777" w:rsidR="000A459F" w:rsidRPr="00CC4F3E" w:rsidRDefault="000A459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459F" w14:paraId="727F7B3E" w14:textId="77777777" w:rsidTr="00CC4F3E">
        <w:tc>
          <w:tcPr>
            <w:tcW w:w="1905" w:type="dxa"/>
          </w:tcPr>
          <w:p w14:paraId="54437E8B" w14:textId="597B4F67" w:rsidR="000A459F" w:rsidRDefault="000A459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Būvniecības padome</w:t>
            </w:r>
          </w:p>
        </w:tc>
        <w:tc>
          <w:tcPr>
            <w:tcW w:w="1398" w:type="dxa"/>
          </w:tcPr>
          <w:p w14:paraId="3C5A8F4F" w14:textId="77777777" w:rsidR="000A459F" w:rsidRPr="00CC4F3E" w:rsidRDefault="000A45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4" w:type="dxa"/>
          </w:tcPr>
          <w:p w14:paraId="7938AA5B" w14:textId="77777777" w:rsidR="000A459F" w:rsidRPr="00CC4F3E" w:rsidRDefault="000A45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3" w:type="dxa"/>
          </w:tcPr>
          <w:p w14:paraId="0DEC4B0A" w14:textId="77777777" w:rsidR="000A459F" w:rsidRPr="00CC4F3E" w:rsidRDefault="000A45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dxa"/>
          </w:tcPr>
          <w:p w14:paraId="3D077A5A" w14:textId="77777777" w:rsidR="000A459F" w:rsidRPr="00CC4F3E" w:rsidRDefault="000A45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3" w:type="dxa"/>
          </w:tcPr>
          <w:p w14:paraId="62ED9F9E" w14:textId="77777777" w:rsidR="000A459F" w:rsidRPr="00CC4F3E" w:rsidRDefault="000A45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3" w:type="dxa"/>
          </w:tcPr>
          <w:p w14:paraId="511150D5" w14:textId="77777777" w:rsidR="000A459F" w:rsidRPr="00CC4F3E" w:rsidRDefault="000A45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6" w:type="dxa"/>
          </w:tcPr>
          <w:p w14:paraId="2056CC74" w14:textId="77777777" w:rsidR="000A459F" w:rsidRPr="00CC4F3E" w:rsidRDefault="000A45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70" w:type="dxa"/>
          </w:tcPr>
          <w:p w14:paraId="3CEE4626" w14:textId="77777777" w:rsidR="000A459F" w:rsidRPr="00CC4F3E" w:rsidRDefault="000A45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9" w:type="dxa"/>
          </w:tcPr>
          <w:p w14:paraId="1C05E8A3" w14:textId="77777777" w:rsidR="000A459F" w:rsidRPr="00CC4F3E" w:rsidRDefault="000A45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2" w:type="dxa"/>
          </w:tcPr>
          <w:p w14:paraId="29BA7DF9" w14:textId="77777777" w:rsidR="000A459F" w:rsidRPr="00CC4F3E" w:rsidRDefault="000A459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071030E" w14:textId="77777777" w:rsidR="00B10B38" w:rsidRDefault="00B10B38"/>
    <w:sectPr w:rsidR="00B10B38" w:rsidSect="00D816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6487C"/>
    <w:multiLevelType w:val="hybridMultilevel"/>
    <w:tmpl w:val="1F9059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F3BB7"/>
    <w:multiLevelType w:val="hybridMultilevel"/>
    <w:tmpl w:val="515C9C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38"/>
    <w:rsid w:val="000A459F"/>
    <w:rsid w:val="000F2E52"/>
    <w:rsid w:val="00112BED"/>
    <w:rsid w:val="00114CAE"/>
    <w:rsid w:val="00153068"/>
    <w:rsid w:val="00195475"/>
    <w:rsid w:val="003F4844"/>
    <w:rsid w:val="00402106"/>
    <w:rsid w:val="00870E46"/>
    <w:rsid w:val="00A07F43"/>
    <w:rsid w:val="00AB6B5F"/>
    <w:rsid w:val="00B10B38"/>
    <w:rsid w:val="00B20379"/>
    <w:rsid w:val="00CC4F3E"/>
    <w:rsid w:val="00D81668"/>
    <w:rsid w:val="00E52919"/>
    <w:rsid w:val="00FC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0BCBA0"/>
  <w15:chartTrackingRefBased/>
  <w15:docId w15:val="{7067DFE5-72A6-4082-86FB-13ECA13F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1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4027</Words>
  <Characters>2296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Gints Miķelsons</dc:creator>
  <cp:keywords/>
  <dc:description/>
  <cp:lastModifiedBy>Gints Miķelsons</cp:lastModifiedBy>
  <cp:revision>6</cp:revision>
  <dcterms:created xsi:type="dcterms:W3CDTF">2021-03-26T10:06:00Z</dcterms:created>
  <dcterms:modified xsi:type="dcterms:W3CDTF">2021-04-15T06:29:00Z</dcterms:modified>
</cp:coreProperties>
</file>