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23CB0" w14:textId="08147294" w:rsidR="005160AC" w:rsidRPr="00F264E6" w:rsidRDefault="0016044A" w:rsidP="005160AC">
      <w:pPr>
        <w:spacing w:after="40" w:line="240" w:lineRule="auto"/>
        <w:jc w:val="right"/>
        <w:rPr>
          <w:rFonts w:asciiTheme="majorHAnsi" w:hAnsiTheme="majorHAnsi" w:cstheme="majorHAnsi"/>
          <w:b/>
          <w:sz w:val="28"/>
          <w:szCs w:val="28"/>
        </w:rPr>
      </w:pPr>
      <w:r>
        <w:rPr>
          <w:rFonts w:asciiTheme="majorHAnsi" w:hAnsiTheme="majorHAnsi" w:cstheme="majorHAnsi"/>
          <w:b/>
          <w:sz w:val="28"/>
          <w:szCs w:val="28"/>
        </w:rPr>
        <w:t>1</w:t>
      </w:r>
      <w:bookmarkStart w:id="0" w:name="_GoBack"/>
      <w:bookmarkEnd w:id="0"/>
      <w:r w:rsidR="005160AC">
        <w:rPr>
          <w:rFonts w:asciiTheme="majorHAnsi" w:hAnsiTheme="majorHAnsi" w:cstheme="majorHAnsi"/>
          <w:b/>
          <w:sz w:val="28"/>
          <w:szCs w:val="28"/>
        </w:rPr>
        <w:t>.Pielikums</w:t>
      </w:r>
    </w:p>
    <w:p w14:paraId="31FF301D" w14:textId="77777777" w:rsidR="005160AC" w:rsidRPr="00F264E6" w:rsidRDefault="005160AC" w:rsidP="005160AC">
      <w:pPr>
        <w:pStyle w:val="Heading1"/>
        <w:spacing w:before="0" w:beforeAutospacing="0" w:after="40" w:afterAutospacing="0"/>
        <w:jc w:val="center"/>
        <w:rPr>
          <w:rFonts w:asciiTheme="majorHAnsi" w:hAnsiTheme="majorHAnsi" w:cstheme="majorHAnsi"/>
          <w:sz w:val="40"/>
          <w:szCs w:val="40"/>
        </w:rPr>
      </w:pPr>
      <w:r w:rsidRPr="00F264E6">
        <w:rPr>
          <w:rFonts w:asciiTheme="majorHAnsi" w:hAnsiTheme="majorHAnsi" w:cstheme="majorHAnsi"/>
          <w:sz w:val="40"/>
          <w:szCs w:val="40"/>
        </w:rPr>
        <w:t>I Covid-19 ietekme uz tautsaimniecību</w:t>
      </w:r>
    </w:p>
    <w:p w14:paraId="0C480C9B" w14:textId="77777777" w:rsidR="005160AC" w:rsidRDefault="005160AC" w:rsidP="005160AC">
      <w:pPr>
        <w:pStyle w:val="Heading1"/>
        <w:spacing w:before="0" w:beforeAutospacing="0" w:after="40" w:afterAutospacing="0"/>
        <w:jc w:val="both"/>
        <w:rPr>
          <w:rFonts w:asciiTheme="majorHAnsi" w:hAnsiTheme="majorHAnsi" w:cstheme="majorHAnsi"/>
          <w:b w:val="0"/>
          <w:sz w:val="24"/>
          <w:szCs w:val="24"/>
        </w:rPr>
      </w:pPr>
    </w:p>
    <w:p w14:paraId="4343A1C6" w14:textId="77777777" w:rsidR="005160AC" w:rsidRPr="005160AC" w:rsidRDefault="005160AC" w:rsidP="005160AC">
      <w:pPr>
        <w:spacing w:after="0" w:line="240" w:lineRule="auto"/>
        <w:rPr>
          <w:rFonts w:asciiTheme="majorHAnsi" w:hAnsiTheme="majorHAnsi" w:cstheme="majorHAnsi"/>
          <w:b/>
          <w:color w:val="44546A" w:themeColor="text2"/>
          <w:sz w:val="26"/>
          <w:szCs w:val="26"/>
        </w:rPr>
      </w:pPr>
      <w:r w:rsidRPr="005160AC">
        <w:rPr>
          <w:rFonts w:asciiTheme="majorHAnsi" w:hAnsiTheme="majorHAnsi" w:cstheme="majorHAnsi"/>
          <w:b/>
          <w:color w:val="44546A" w:themeColor="text2"/>
          <w:sz w:val="26"/>
          <w:szCs w:val="26"/>
        </w:rPr>
        <w:t>NENOTEIKTĪBA UN GLOBĀLĀS EKONOMIKAS ATTĪSTĪBAS PROGNOZES</w:t>
      </w:r>
    </w:p>
    <w:p w14:paraId="14A2010C" w14:textId="77777777" w:rsidR="005160AC" w:rsidRDefault="005160AC" w:rsidP="005160AC">
      <w:pPr>
        <w:spacing w:after="0" w:line="240" w:lineRule="auto"/>
        <w:rPr>
          <w:rFonts w:asciiTheme="majorHAnsi" w:hAnsiTheme="majorHAnsi" w:cstheme="majorHAnsi"/>
          <w:b/>
          <w:bCs/>
          <w:sz w:val="10"/>
          <w:szCs w:val="10"/>
        </w:rPr>
      </w:pPr>
    </w:p>
    <w:p w14:paraId="260EF437" w14:textId="77777777" w:rsidR="005160AC" w:rsidRDefault="005160AC" w:rsidP="005160AC">
      <w:pPr>
        <w:spacing w:after="0" w:line="240" w:lineRule="auto"/>
        <w:rPr>
          <w:rFonts w:asciiTheme="majorHAnsi" w:hAnsiTheme="majorHAnsi" w:cstheme="majorHAnsi"/>
          <w:b/>
          <w:bCs/>
          <w:sz w:val="10"/>
          <w:szCs w:val="10"/>
        </w:rPr>
      </w:pPr>
    </w:p>
    <w:p w14:paraId="26BBA711" w14:textId="77777777" w:rsidR="005160AC" w:rsidRPr="007427C6" w:rsidRDefault="005160AC" w:rsidP="005160AC">
      <w:pPr>
        <w:spacing w:after="0" w:line="240" w:lineRule="auto"/>
        <w:rPr>
          <w:rFonts w:asciiTheme="majorHAnsi" w:hAnsiTheme="majorHAnsi" w:cstheme="majorHAnsi"/>
          <w:b/>
          <w:bCs/>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935"/>
      </w:tblGrid>
      <w:tr w:rsidR="005160AC" w14:paraId="2F6119EF" w14:textId="77777777" w:rsidTr="20794AED">
        <w:tc>
          <w:tcPr>
            <w:tcW w:w="846" w:type="dxa"/>
          </w:tcPr>
          <w:p w14:paraId="0804FCCA" w14:textId="77777777" w:rsidR="005160AC" w:rsidRDefault="005160AC" w:rsidP="008610FC">
            <w:pPr>
              <w:rPr>
                <w:rFonts w:asciiTheme="majorHAnsi" w:hAnsiTheme="majorHAnsi" w:cstheme="majorHAnsi"/>
                <w:b/>
                <w:bCs/>
                <w:sz w:val="24"/>
                <w:szCs w:val="24"/>
              </w:rPr>
            </w:pPr>
            <w:r>
              <w:rPr>
                <w:noProof/>
              </w:rPr>
              <w:drawing>
                <wp:inline distT="0" distB="0" distL="0" distR="0" wp14:anchorId="59F905F8" wp14:editId="6C14E99C">
                  <wp:extent cx="396000" cy="396000"/>
                  <wp:effectExtent l="0" t="0" r="4445" b="4445"/>
                  <wp:docPr id="544819949" name="Picture 7" descr="Attēlu rezultāti vaicājumam “uncertaint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9067" w:type="dxa"/>
          </w:tcPr>
          <w:p w14:paraId="42627B0B" w14:textId="77777777" w:rsidR="005160AC" w:rsidRDefault="005160AC" w:rsidP="008610FC">
            <w:pPr>
              <w:jc w:val="both"/>
              <w:rPr>
                <w:rFonts w:asciiTheme="majorHAnsi" w:hAnsiTheme="majorHAnsi" w:cstheme="majorHAnsi"/>
              </w:rPr>
            </w:pPr>
            <w:r w:rsidRPr="00F87432">
              <w:rPr>
                <w:rFonts w:asciiTheme="majorHAnsi" w:hAnsiTheme="majorHAnsi" w:cstheme="majorHAnsi"/>
              </w:rPr>
              <w:t xml:space="preserve">Neskaidrība par </w:t>
            </w:r>
            <w:r>
              <w:rPr>
                <w:rFonts w:asciiTheme="majorHAnsi" w:hAnsiTheme="majorHAnsi" w:cstheme="majorHAnsi"/>
              </w:rPr>
              <w:t>Covid-19</w:t>
            </w:r>
            <w:r w:rsidRPr="00F87432">
              <w:rPr>
                <w:rFonts w:asciiTheme="majorHAnsi" w:hAnsiTheme="majorHAnsi" w:cstheme="majorHAnsi"/>
              </w:rPr>
              <w:t xml:space="preserve"> ietekmi uz ekonomikas attīstību ir ārkārtīgi liela, jo </w:t>
            </w:r>
            <w:r w:rsidRPr="00AB6E74">
              <w:rPr>
                <w:rFonts w:asciiTheme="majorHAnsi" w:hAnsiTheme="majorHAnsi" w:cstheme="majorHAnsi"/>
                <w:b/>
                <w:bCs/>
              </w:rPr>
              <w:t xml:space="preserve">nav skaidrs, cik ilgi un plaši turpinās izplatīties </w:t>
            </w:r>
            <w:proofErr w:type="spellStart"/>
            <w:r w:rsidRPr="00AB6E74">
              <w:rPr>
                <w:rFonts w:asciiTheme="majorHAnsi" w:hAnsiTheme="majorHAnsi" w:cstheme="majorHAnsi"/>
                <w:b/>
                <w:bCs/>
              </w:rPr>
              <w:t>koronavīruss</w:t>
            </w:r>
            <w:proofErr w:type="spellEnd"/>
            <w:r w:rsidRPr="00AB6E74">
              <w:rPr>
                <w:rFonts w:asciiTheme="majorHAnsi" w:hAnsiTheme="majorHAnsi" w:cstheme="majorHAnsi"/>
                <w:b/>
                <w:bCs/>
              </w:rPr>
              <w:t xml:space="preserve"> Eiropā un Pasaulē</w:t>
            </w:r>
            <w:r>
              <w:rPr>
                <w:rFonts w:asciiTheme="majorHAnsi" w:hAnsiTheme="majorHAnsi" w:cstheme="majorHAnsi"/>
              </w:rPr>
              <w:t>.</w:t>
            </w:r>
          </w:p>
          <w:p w14:paraId="57172E89" w14:textId="77777777" w:rsidR="005160AC" w:rsidRPr="0080137F" w:rsidRDefault="005160AC" w:rsidP="008610FC">
            <w:pPr>
              <w:jc w:val="both"/>
              <w:rPr>
                <w:rFonts w:asciiTheme="majorHAnsi" w:hAnsiTheme="majorHAnsi" w:cstheme="majorHAnsi"/>
                <w:sz w:val="14"/>
                <w:szCs w:val="14"/>
              </w:rPr>
            </w:pPr>
          </w:p>
        </w:tc>
      </w:tr>
      <w:tr w:rsidR="005160AC" w14:paraId="6636A8DD" w14:textId="77777777" w:rsidTr="20794AED">
        <w:tc>
          <w:tcPr>
            <w:tcW w:w="9913" w:type="dxa"/>
            <w:gridSpan w:val="2"/>
          </w:tcPr>
          <w:p w14:paraId="3B2CA956" w14:textId="77777777" w:rsidR="005160AC" w:rsidRPr="0000479E" w:rsidRDefault="005160AC" w:rsidP="008610FC">
            <w:pPr>
              <w:jc w:val="both"/>
              <w:rPr>
                <w:rFonts w:asciiTheme="majorHAnsi" w:hAnsiTheme="majorHAnsi" w:cstheme="majorHAnsi"/>
              </w:rPr>
            </w:pPr>
            <w:r w:rsidRPr="0000479E">
              <w:rPr>
                <w:noProof/>
              </w:rPr>
              <w:drawing>
                <wp:anchor distT="0" distB="0" distL="114300" distR="114300" simplePos="0" relativeHeight="251664384" behindDoc="0" locked="0" layoutInCell="1" allowOverlap="1" wp14:anchorId="20C18979" wp14:editId="3BC3AC0B">
                  <wp:simplePos x="0" y="0"/>
                  <wp:positionH relativeFrom="column">
                    <wp:posOffset>3810</wp:posOffset>
                  </wp:positionH>
                  <wp:positionV relativeFrom="paragraph">
                    <wp:posOffset>56515</wp:posOffset>
                  </wp:positionV>
                  <wp:extent cx="342900" cy="342900"/>
                  <wp:effectExtent l="0" t="0" r="0" b="0"/>
                  <wp:wrapSquare wrapText="bothSides"/>
                  <wp:docPr id="9" name="Picture 9" descr="Attēlu rezultāti vaicājumam “global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tēlu rezultāti vaicājumam “global icon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20794AED">
              <w:rPr>
                <w:rFonts w:asciiTheme="majorHAnsi" w:hAnsiTheme="majorHAnsi" w:cstheme="majorBidi"/>
              </w:rPr>
              <w:t xml:space="preserve">Par Globālās ekonomikas attīstības tendencēm un aprēķinos ir ņemta vērā aktuālākā informācija no Eiropas komisijas, OECD, IMF, </w:t>
            </w:r>
            <w:proofErr w:type="spellStart"/>
            <w:r w:rsidRPr="20794AED">
              <w:rPr>
                <w:rFonts w:asciiTheme="majorHAnsi" w:hAnsiTheme="majorHAnsi" w:cstheme="majorBidi"/>
              </w:rPr>
              <w:t>Global</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Economic</w:t>
            </w:r>
            <w:proofErr w:type="spellEnd"/>
            <w:r w:rsidRPr="20794AED">
              <w:rPr>
                <w:rFonts w:asciiTheme="majorHAnsi" w:hAnsiTheme="majorHAnsi" w:cstheme="majorBidi"/>
              </w:rPr>
              <w:t xml:space="preserve"> Forum, </w:t>
            </w:r>
            <w:proofErr w:type="spellStart"/>
            <w:r w:rsidRPr="20794AED">
              <w:rPr>
                <w:rFonts w:asciiTheme="majorHAnsi" w:hAnsiTheme="majorHAnsi" w:cstheme="majorBidi"/>
              </w:rPr>
              <w:t>Oxford</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Economics</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The</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Economist</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Bloomberg</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The</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global</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association</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of</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the</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financial</w:t>
            </w:r>
            <w:proofErr w:type="spellEnd"/>
            <w:r w:rsidRPr="20794AED">
              <w:rPr>
                <w:rFonts w:asciiTheme="majorHAnsi" w:hAnsiTheme="majorHAnsi" w:cstheme="majorBidi"/>
              </w:rPr>
              <w:t xml:space="preserve"> </w:t>
            </w:r>
            <w:proofErr w:type="spellStart"/>
            <w:r w:rsidRPr="20794AED">
              <w:rPr>
                <w:rFonts w:asciiTheme="majorHAnsi" w:hAnsiTheme="majorHAnsi" w:cstheme="majorBidi"/>
              </w:rPr>
              <w:t>industry</w:t>
            </w:r>
            <w:proofErr w:type="spellEnd"/>
            <w:r w:rsidRPr="20794AED">
              <w:rPr>
                <w:rFonts w:asciiTheme="majorHAnsi" w:hAnsiTheme="majorHAnsi" w:cstheme="majorBidi"/>
              </w:rPr>
              <w:t xml:space="preserve"> u.c. organizācijām.</w:t>
            </w:r>
          </w:p>
          <w:p w14:paraId="3B6914F8" w14:textId="77777777" w:rsidR="005160AC" w:rsidRDefault="005160AC" w:rsidP="008610FC">
            <w:pPr>
              <w:spacing w:before="80"/>
              <w:jc w:val="both"/>
              <w:rPr>
                <w:rFonts w:asciiTheme="majorHAnsi" w:hAnsiTheme="majorHAnsi" w:cstheme="majorHAnsi"/>
              </w:rPr>
            </w:pPr>
          </w:p>
          <w:p w14:paraId="495647EF" w14:textId="77777777" w:rsidR="005160AC" w:rsidRDefault="005160AC" w:rsidP="008610FC">
            <w:pPr>
              <w:spacing w:before="80"/>
              <w:jc w:val="both"/>
              <w:rPr>
                <w:rFonts w:asciiTheme="majorHAnsi" w:hAnsiTheme="majorHAnsi" w:cstheme="majorHAnsi"/>
              </w:rPr>
            </w:pPr>
            <w:r w:rsidRPr="0000479E">
              <w:rPr>
                <w:rFonts w:asciiTheme="majorHAnsi" w:hAnsiTheme="majorHAnsi" w:cstheme="majorHAnsi"/>
              </w:rPr>
              <w:t xml:space="preserve">Vēl marta sākumā dažādas starptautiskas organizācijas par </w:t>
            </w:r>
            <w:proofErr w:type="spellStart"/>
            <w:r w:rsidRPr="0000479E">
              <w:rPr>
                <w:rFonts w:asciiTheme="majorHAnsi" w:hAnsiTheme="majorHAnsi" w:cstheme="majorHAnsi"/>
              </w:rPr>
              <w:t>pamatscenāriju</w:t>
            </w:r>
            <w:proofErr w:type="spellEnd"/>
            <w:r w:rsidRPr="0000479E">
              <w:rPr>
                <w:rFonts w:asciiTheme="majorHAnsi" w:hAnsiTheme="majorHAnsi" w:cstheme="majorHAnsi"/>
              </w:rPr>
              <w:t xml:space="preserve"> prognozēja V veida scenāriju, t.i., izteikta, bet īslaicīga lejupslīde, kurai sekos strauja atkopšanās. </w:t>
            </w:r>
            <w:r w:rsidRPr="00AB6E74">
              <w:rPr>
                <w:rFonts w:asciiTheme="majorHAnsi" w:hAnsiTheme="majorHAnsi" w:cstheme="majorHAnsi"/>
                <w:b/>
                <w:bCs/>
              </w:rPr>
              <w:t>Šobrīd ticamāks izskatās U tipa scenārijs, kas nozīmētu, ka samazināšanās fāze būs ilgstošāka, bet aktīvi nerīkojoties, nevar izslēgt vēl ilgstošāku lejupslīdi.</w:t>
            </w:r>
          </w:p>
          <w:tbl>
            <w:tblPr>
              <w:tblStyle w:val="TableGrid"/>
              <w:tblpPr w:leftFromText="180" w:rightFromText="180" w:vertAnchor="text" w:horzAnchor="margin" w:tblpXSpec="right" w:tblpY="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tblGrid>
            <w:tr w:rsidR="005160AC" w:rsidRPr="0000479E" w14:paraId="141631D2" w14:textId="77777777" w:rsidTr="008610FC">
              <w:trPr>
                <w:trHeight w:val="2916"/>
              </w:trPr>
              <w:tc>
                <w:tcPr>
                  <w:tcW w:w="5556" w:type="dxa"/>
                </w:tcPr>
                <w:p w14:paraId="0E126D80" w14:textId="77777777" w:rsidR="005160AC" w:rsidRPr="0000479E" w:rsidRDefault="005160AC" w:rsidP="008610FC">
                  <w:pPr>
                    <w:shd w:val="clear" w:color="auto" w:fill="D9D9D9" w:themeFill="background1" w:themeFillShade="D9"/>
                    <w:spacing w:before="80"/>
                    <w:jc w:val="right"/>
                    <w:rPr>
                      <w:rFonts w:asciiTheme="majorHAnsi" w:hAnsiTheme="majorHAnsi" w:cstheme="majorHAnsi"/>
                      <w:i/>
                      <w:iCs/>
                      <w:sz w:val="20"/>
                      <w:szCs w:val="20"/>
                    </w:rPr>
                  </w:pPr>
                  <w:r w:rsidRPr="0000479E">
                    <w:rPr>
                      <w:rFonts w:asciiTheme="majorHAnsi" w:hAnsiTheme="majorHAnsi" w:cstheme="majorHAnsi"/>
                      <w:i/>
                      <w:iCs/>
                      <w:sz w:val="20"/>
                      <w:szCs w:val="20"/>
                    </w:rPr>
                    <w:t>Reālā IKP izmaiņ</w:t>
                  </w:r>
                  <w:r>
                    <w:rPr>
                      <w:rFonts w:asciiTheme="majorHAnsi" w:hAnsiTheme="majorHAnsi" w:cstheme="majorHAnsi"/>
                      <w:i/>
                      <w:iCs/>
                      <w:sz w:val="20"/>
                      <w:szCs w:val="20"/>
                    </w:rPr>
                    <w:t>as</w:t>
                  </w:r>
                  <w:r w:rsidRPr="0000479E">
                    <w:rPr>
                      <w:rFonts w:asciiTheme="majorHAnsi" w:hAnsiTheme="majorHAnsi" w:cstheme="majorHAnsi"/>
                      <w:i/>
                      <w:iCs/>
                      <w:sz w:val="20"/>
                      <w:szCs w:val="20"/>
                    </w:rPr>
                    <w:t>, procentos pret iepriekšējo gadu</w:t>
                  </w:r>
                </w:p>
                <w:p w14:paraId="73FF7A86" w14:textId="77777777" w:rsidR="005160AC" w:rsidRPr="0000479E" w:rsidRDefault="005160AC" w:rsidP="008610FC">
                  <w:pPr>
                    <w:jc w:val="center"/>
                    <w:rPr>
                      <w:rFonts w:asciiTheme="majorHAnsi" w:hAnsiTheme="majorHAnsi" w:cstheme="majorHAnsi"/>
                      <w:sz w:val="20"/>
                      <w:szCs w:val="20"/>
                    </w:rPr>
                  </w:pPr>
                  <w:r w:rsidRPr="0000479E">
                    <w:rPr>
                      <w:rFonts w:asciiTheme="majorHAnsi" w:hAnsiTheme="majorHAnsi" w:cstheme="majorHAnsi"/>
                      <w:noProof/>
                      <w:color w:val="000000"/>
                      <w:sz w:val="20"/>
                      <w:szCs w:val="20"/>
                      <w:lang w:eastAsia="lv-LV"/>
                    </w:rPr>
                    <w:drawing>
                      <wp:inline distT="0" distB="0" distL="0" distR="0" wp14:anchorId="5CABE79A" wp14:editId="1A12B493">
                        <wp:extent cx="3305175" cy="2266950"/>
                        <wp:effectExtent l="0" t="0" r="0" b="0"/>
                        <wp:docPr id="28"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0C5B45" w14:textId="77777777" w:rsidR="005160AC" w:rsidRPr="0000479E" w:rsidRDefault="005160AC" w:rsidP="008610FC">
                  <w:pPr>
                    <w:spacing w:after="120"/>
                    <w:rPr>
                      <w:rFonts w:asciiTheme="majorHAnsi" w:hAnsiTheme="majorHAnsi" w:cstheme="majorHAnsi"/>
                      <w:i/>
                      <w:iCs/>
                      <w:sz w:val="20"/>
                      <w:szCs w:val="20"/>
                    </w:rPr>
                  </w:pPr>
                  <w:r w:rsidRPr="0000479E">
                    <w:rPr>
                      <w:rFonts w:asciiTheme="majorHAnsi" w:hAnsiTheme="majorHAnsi" w:cstheme="majorHAnsi"/>
                      <w:i/>
                      <w:iCs/>
                      <w:sz w:val="16"/>
                      <w:szCs w:val="16"/>
                    </w:rPr>
                    <w:t xml:space="preserve">Avots: </w:t>
                  </w:r>
                  <w:r>
                    <w:rPr>
                      <w:rFonts w:asciiTheme="majorHAnsi" w:hAnsiTheme="majorHAnsi" w:cstheme="majorHAnsi"/>
                      <w:i/>
                      <w:iCs/>
                      <w:sz w:val="16"/>
                      <w:szCs w:val="16"/>
                    </w:rPr>
                    <w:t xml:space="preserve">IMF </w:t>
                  </w:r>
                  <w:proofErr w:type="spellStart"/>
                  <w:r>
                    <w:rPr>
                      <w:rFonts w:asciiTheme="majorHAnsi" w:hAnsiTheme="majorHAnsi" w:cstheme="majorHAnsi"/>
                      <w:i/>
                      <w:iCs/>
                      <w:sz w:val="16"/>
                      <w:szCs w:val="16"/>
                    </w:rPr>
                    <w:t>World</w:t>
                  </w:r>
                  <w:proofErr w:type="spellEnd"/>
                  <w:r>
                    <w:rPr>
                      <w:rFonts w:asciiTheme="majorHAnsi" w:hAnsiTheme="majorHAnsi" w:cstheme="majorHAnsi"/>
                      <w:i/>
                      <w:iCs/>
                      <w:sz w:val="16"/>
                      <w:szCs w:val="16"/>
                    </w:rPr>
                    <w:t xml:space="preserve"> Outlook 14.04.2020</w:t>
                  </w:r>
                </w:p>
              </w:tc>
            </w:tr>
          </w:tbl>
          <w:p w14:paraId="32821144" w14:textId="77777777" w:rsidR="005160AC" w:rsidRDefault="005160AC" w:rsidP="008610FC">
            <w:pPr>
              <w:jc w:val="both"/>
              <w:rPr>
                <w:rFonts w:asciiTheme="majorHAnsi" w:hAnsiTheme="majorHAnsi" w:cstheme="majorHAnsi"/>
              </w:rPr>
            </w:pPr>
          </w:p>
          <w:p w14:paraId="42DD3E96" w14:textId="77777777" w:rsidR="005160AC" w:rsidRPr="00DC7A40" w:rsidRDefault="005160AC" w:rsidP="008610FC">
            <w:pPr>
              <w:jc w:val="both"/>
              <w:rPr>
                <w:rFonts w:asciiTheme="majorHAnsi" w:hAnsiTheme="majorHAnsi" w:cstheme="majorHAnsi"/>
              </w:rPr>
            </w:pPr>
            <w:r w:rsidRPr="00DC7A40">
              <w:rPr>
                <w:rFonts w:asciiTheme="majorHAnsi" w:hAnsiTheme="majorHAnsi" w:cstheme="majorHAnsi"/>
              </w:rPr>
              <w:t xml:space="preserve">SVF 14.aprīlī publicētās prognozes rāda, ka COVID-19 pandēmijas rezultātā pasaules ekonomika 2020.gadā strauji saruks – par 3%, kas ir daudz dziļāks kritums  nekā finanšu krīzes laikā 2008. un 2009.gadā. Bāzes scenārijā, kurā tiek pieņemts, ka pandēmija izzūd 2020.gada otrajā pusē un vīrusa ierobežošanas pasākumi pakāpeniski tiek atcelti, globālā ekonomika 2021.gadā pieaugs – par 5,8%, normalizējoties ekonomiskajai aktivitātei, ko sekmēs savlaicīga un efektīva politikas rīcība. </w:t>
            </w:r>
          </w:p>
          <w:p w14:paraId="3CB6D503" w14:textId="77777777" w:rsidR="005160AC" w:rsidRPr="00DC7A40" w:rsidRDefault="005160AC" w:rsidP="008610FC">
            <w:pPr>
              <w:jc w:val="both"/>
              <w:rPr>
                <w:rFonts w:asciiTheme="majorHAnsi" w:hAnsiTheme="majorHAnsi" w:cstheme="majorHAnsi"/>
              </w:rPr>
            </w:pPr>
            <w:r w:rsidRPr="00DC7A40">
              <w:rPr>
                <w:rFonts w:asciiTheme="majorHAnsi" w:hAnsiTheme="majorHAnsi" w:cstheme="majorHAnsi"/>
              </w:rPr>
              <w:t>SVF prognozē, ka lielākajā daļā attīstīto valstu grupā ekonomikas 2020.gadā samazināsies – par 6,1%, ieskaitot ASV (–5,9%), Japānā (–5,2%), Lielbritānijā (–6,5%), Vācijā (–7,0%), Francijā (–7,2%), Itālijā (–9,1%) un Spānijā (–8,0%). Paredzams, ka kopumā attīstības valstu grupā IKP 2020.gadā samazināsies – par 1,0%, izņemot Ķīnu (pieaugums par 2,2%). Krievijā ekonomika šogad saruks par 5,5%. Arī Baltijas valstīs SVF 2020.gadā prognozē IKP kritumu: Latvijā – par 8,6%, Lietuvā – par 8,1% un Igaunijā – par 7,5%.</w:t>
            </w:r>
          </w:p>
          <w:p w14:paraId="4D16A9BB" w14:textId="77777777" w:rsidR="005160AC" w:rsidRPr="00DC7A40" w:rsidRDefault="005160AC" w:rsidP="008610FC">
            <w:pPr>
              <w:jc w:val="both"/>
              <w:rPr>
                <w:rFonts w:asciiTheme="majorHAnsi" w:hAnsiTheme="majorHAnsi" w:cstheme="majorHAnsi"/>
              </w:rPr>
            </w:pPr>
            <w:r w:rsidRPr="00DC7A40">
              <w:rPr>
                <w:rFonts w:asciiTheme="majorHAnsi" w:hAnsiTheme="majorHAnsi" w:cstheme="majorHAnsi"/>
              </w:rPr>
              <w:t xml:space="preserve">Neskatoties uz to, ka SVF bāzes scenārijā prognozē, ka gandrīz visās pasaules valstīs 2021.gadā ekonomikas pieaugs, tomēr IKP līmenis 2021.gada beigās gan attīstītajās, gan attīstības valstīs saglabāsies zem sākotnējā </w:t>
            </w:r>
            <w:proofErr w:type="spellStart"/>
            <w:r w:rsidRPr="00DC7A40">
              <w:rPr>
                <w:rFonts w:asciiTheme="majorHAnsi" w:hAnsiTheme="majorHAnsi" w:cstheme="majorHAnsi"/>
              </w:rPr>
              <w:t>pirmsvīrusa</w:t>
            </w:r>
            <w:proofErr w:type="spellEnd"/>
            <w:r w:rsidRPr="00DC7A40">
              <w:rPr>
                <w:rFonts w:asciiTheme="majorHAnsi" w:hAnsiTheme="majorHAnsi" w:cstheme="majorHAnsi"/>
              </w:rPr>
              <w:t xml:space="preserve"> ekonomikas līmeņa.</w:t>
            </w:r>
            <w:r>
              <w:rPr>
                <w:rFonts w:asciiTheme="majorHAnsi" w:hAnsiTheme="majorHAnsi" w:cstheme="majorHAnsi"/>
              </w:rPr>
              <w:t xml:space="preserve"> </w:t>
            </w:r>
            <w:r w:rsidRPr="00DC7A40">
              <w:rPr>
                <w:rFonts w:asciiTheme="majorHAnsi" w:hAnsiTheme="majorHAnsi" w:cstheme="majorHAnsi"/>
              </w:rPr>
              <w:t xml:space="preserve">Vienlaikus SVF atzīmē, ka COVID-19 pandēmija varētu izrādīties noturīgāka, nekā tas izskatās šobrīd. COVID-19 ietekme uz ekonomisko aktivitāti un finanšu tirgiem varētu izrādīties spēcīgāka un ilgstošāka. Šādā gadījumā, IKP kritums varētu būt vēl lielāks nekā bāzes scenārijā. </w:t>
            </w:r>
          </w:p>
          <w:p w14:paraId="797A5C5F" w14:textId="77777777" w:rsidR="005160AC" w:rsidRPr="0000479E" w:rsidRDefault="005160AC" w:rsidP="008610FC">
            <w:pPr>
              <w:jc w:val="both"/>
              <w:rPr>
                <w:rFonts w:asciiTheme="majorHAnsi" w:hAnsiTheme="majorHAnsi" w:cstheme="majorHAnsi"/>
              </w:rPr>
            </w:pPr>
          </w:p>
        </w:tc>
      </w:tr>
    </w:tbl>
    <w:p w14:paraId="5C2D72EB" w14:textId="77777777" w:rsidR="005160AC" w:rsidRPr="00A647B9" w:rsidRDefault="005160AC" w:rsidP="005160AC">
      <w:pPr>
        <w:spacing w:after="0" w:line="240" w:lineRule="auto"/>
        <w:rPr>
          <w:rFonts w:asciiTheme="majorHAnsi" w:hAnsiTheme="majorHAnsi" w:cstheme="majorHAnsi"/>
          <w:b/>
          <w:color w:val="44546A" w:themeColor="text2"/>
          <w:sz w:val="26"/>
          <w:szCs w:val="26"/>
        </w:rPr>
      </w:pPr>
      <w:r w:rsidRPr="00A647B9">
        <w:rPr>
          <w:rFonts w:asciiTheme="majorHAnsi" w:hAnsiTheme="majorHAnsi" w:cstheme="majorHAnsi"/>
          <w:b/>
          <w:color w:val="44546A" w:themeColor="text2"/>
          <w:sz w:val="26"/>
          <w:szCs w:val="26"/>
        </w:rPr>
        <w:t xml:space="preserve">GLOBĀLĀS EKONOMIKAS SABREMZĒŠANĀS UN VĪRUSA IZPLATĪBAS IETEKMES KANĀLI </w:t>
      </w:r>
    </w:p>
    <w:p w14:paraId="569E949C" w14:textId="77777777" w:rsidR="005160AC" w:rsidRPr="00F264E6" w:rsidRDefault="005160AC" w:rsidP="005160AC">
      <w:pPr>
        <w:spacing w:after="0" w:line="240" w:lineRule="auto"/>
        <w:ind w:right="-1"/>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1431"/>
        <w:gridCol w:w="1542"/>
        <w:gridCol w:w="1684"/>
        <w:gridCol w:w="1414"/>
        <w:gridCol w:w="2076"/>
      </w:tblGrid>
      <w:tr w:rsidR="005160AC" w14:paraId="03BACFA4" w14:textId="77777777" w:rsidTr="20794AED">
        <w:tc>
          <w:tcPr>
            <w:tcW w:w="1652" w:type="dxa"/>
            <w:shd w:val="clear" w:color="auto" w:fill="E7E6E6" w:themeFill="background2"/>
            <w:vAlign w:val="bottom"/>
          </w:tcPr>
          <w:p w14:paraId="1CB80C73" w14:textId="77777777" w:rsidR="005160AC" w:rsidRPr="00F264E6" w:rsidRDefault="005160AC" w:rsidP="008610FC">
            <w:pPr>
              <w:jc w:val="center"/>
              <w:rPr>
                <w:rFonts w:asciiTheme="majorHAnsi" w:hAnsiTheme="majorHAnsi" w:cstheme="majorHAnsi"/>
                <w:b/>
                <w:sz w:val="24"/>
                <w:szCs w:val="24"/>
              </w:rPr>
            </w:pPr>
            <w:r>
              <w:rPr>
                <w:noProof/>
              </w:rPr>
              <w:drawing>
                <wp:inline distT="0" distB="0" distL="0" distR="0" wp14:anchorId="5AA9EF92" wp14:editId="77118602">
                  <wp:extent cx="447801" cy="360000"/>
                  <wp:effectExtent l="0" t="0" r="0" b="2540"/>
                  <wp:docPr id="854667929" name="Picture 35" descr="Attēlu rezultāti vaicājumam “exports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801" cy="360000"/>
                          </a:xfrm>
                          <a:prstGeom prst="rect">
                            <a:avLst/>
                          </a:prstGeom>
                        </pic:spPr>
                      </pic:pic>
                    </a:graphicData>
                  </a:graphic>
                </wp:inline>
              </w:drawing>
            </w:r>
          </w:p>
        </w:tc>
        <w:tc>
          <w:tcPr>
            <w:tcW w:w="1462" w:type="dxa"/>
            <w:vAlign w:val="bottom"/>
          </w:tcPr>
          <w:p w14:paraId="5BC26135" w14:textId="77777777" w:rsidR="005160AC" w:rsidRPr="00F264E6" w:rsidRDefault="005160AC" w:rsidP="008610FC">
            <w:pPr>
              <w:jc w:val="center"/>
              <w:rPr>
                <w:rFonts w:asciiTheme="majorHAnsi" w:hAnsiTheme="majorHAnsi" w:cstheme="majorHAnsi"/>
                <w:b/>
                <w:sz w:val="24"/>
                <w:szCs w:val="24"/>
              </w:rPr>
            </w:pPr>
            <w:r>
              <w:rPr>
                <w:noProof/>
              </w:rPr>
              <w:drawing>
                <wp:inline distT="0" distB="0" distL="0" distR="0" wp14:anchorId="16BA6638" wp14:editId="44542ACA">
                  <wp:extent cx="432000" cy="432000"/>
                  <wp:effectExtent l="0" t="0" r="6350" b="6350"/>
                  <wp:docPr id="1629452514" name="Picture 26" descr="Attēlu rezultāti vaicājumam “suppl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1559" w:type="dxa"/>
            <w:shd w:val="clear" w:color="auto" w:fill="E7E6E6" w:themeFill="background2"/>
            <w:vAlign w:val="bottom"/>
          </w:tcPr>
          <w:p w14:paraId="4B180864" w14:textId="77777777" w:rsidR="005160AC" w:rsidRPr="00F264E6" w:rsidRDefault="005160AC" w:rsidP="008610FC">
            <w:pPr>
              <w:jc w:val="center"/>
              <w:rPr>
                <w:rFonts w:asciiTheme="majorHAnsi" w:hAnsiTheme="majorHAnsi" w:cstheme="majorHAnsi"/>
              </w:rPr>
            </w:pPr>
            <w:r>
              <w:rPr>
                <w:noProof/>
              </w:rPr>
              <w:drawing>
                <wp:inline distT="0" distB="0" distL="0" distR="0" wp14:anchorId="262F1533" wp14:editId="6943CCC0">
                  <wp:extent cx="432000" cy="432000"/>
                  <wp:effectExtent l="0" t="0" r="6350" b="0"/>
                  <wp:docPr id="2112790545" name="Picture 19" descr="Attēlu rezultāti vaicājumam “handshake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0">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1701" w:type="dxa"/>
            <w:vAlign w:val="bottom"/>
          </w:tcPr>
          <w:p w14:paraId="7406D1DF" w14:textId="77777777" w:rsidR="005160AC" w:rsidRPr="00F264E6" w:rsidRDefault="005160AC" w:rsidP="008610FC">
            <w:pPr>
              <w:jc w:val="center"/>
              <w:rPr>
                <w:rFonts w:asciiTheme="majorHAnsi" w:hAnsiTheme="majorHAnsi" w:cstheme="majorHAnsi"/>
                <w:b/>
                <w:sz w:val="24"/>
                <w:szCs w:val="24"/>
              </w:rPr>
            </w:pPr>
            <w:r>
              <w:rPr>
                <w:noProof/>
              </w:rPr>
              <w:drawing>
                <wp:inline distT="0" distB="0" distL="0" distR="0" wp14:anchorId="628B83E8" wp14:editId="64BECE13">
                  <wp:extent cx="432000" cy="432000"/>
                  <wp:effectExtent l="0" t="0" r="6350" b="6350"/>
                  <wp:docPr id="1794656645" name="Picture 23" descr="Attēlu rezultāti vaicājumam “export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1">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1418" w:type="dxa"/>
            <w:shd w:val="clear" w:color="auto" w:fill="E7E6E6" w:themeFill="background2"/>
            <w:vAlign w:val="bottom"/>
          </w:tcPr>
          <w:p w14:paraId="44AE4748" w14:textId="77777777" w:rsidR="005160AC" w:rsidRPr="00F264E6" w:rsidRDefault="005160AC" w:rsidP="008610FC">
            <w:pPr>
              <w:jc w:val="center"/>
              <w:rPr>
                <w:rFonts w:asciiTheme="majorHAnsi" w:hAnsiTheme="majorHAnsi" w:cstheme="majorHAnsi"/>
                <w:b/>
                <w:sz w:val="24"/>
                <w:szCs w:val="24"/>
              </w:rPr>
            </w:pPr>
            <w:r>
              <w:rPr>
                <w:noProof/>
              </w:rPr>
              <w:drawing>
                <wp:inline distT="0" distB="0" distL="0" distR="0" wp14:anchorId="2DD5811A" wp14:editId="4F53BCD4">
                  <wp:extent cx="417241" cy="432000"/>
                  <wp:effectExtent l="0" t="0" r="1905" b="6350"/>
                  <wp:docPr id="1032990991" name="Picture 24" descr="Attēlu rezultāti vaicājumam “traveler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2">
                            <a:extLst>
                              <a:ext uri="{28A0092B-C50C-407E-A947-70E740481C1C}">
                                <a14:useLocalDpi xmlns:a14="http://schemas.microsoft.com/office/drawing/2010/main" val="0"/>
                              </a:ext>
                            </a:extLst>
                          </a:blip>
                          <a:stretch>
                            <a:fillRect/>
                          </a:stretch>
                        </pic:blipFill>
                        <pic:spPr>
                          <a:xfrm>
                            <a:off x="0" y="0"/>
                            <a:ext cx="417241" cy="432000"/>
                          </a:xfrm>
                          <a:prstGeom prst="rect">
                            <a:avLst/>
                          </a:prstGeom>
                        </pic:spPr>
                      </pic:pic>
                    </a:graphicData>
                  </a:graphic>
                </wp:inline>
              </w:drawing>
            </w:r>
          </w:p>
        </w:tc>
        <w:tc>
          <w:tcPr>
            <w:tcW w:w="2121" w:type="dxa"/>
            <w:vAlign w:val="bottom"/>
          </w:tcPr>
          <w:p w14:paraId="6CF164F4" w14:textId="77777777" w:rsidR="005160AC" w:rsidRPr="00F264E6" w:rsidRDefault="005160AC" w:rsidP="008610FC">
            <w:pPr>
              <w:jc w:val="center"/>
              <w:rPr>
                <w:rFonts w:asciiTheme="majorHAnsi" w:hAnsiTheme="majorHAnsi" w:cstheme="majorHAnsi"/>
              </w:rPr>
            </w:pPr>
            <w:r w:rsidRPr="00F264E6">
              <w:rPr>
                <w:rFonts w:asciiTheme="majorHAnsi" w:hAnsiTheme="majorHAnsi" w:cstheme="majorHAnsi"/>
                <w:noProof/>
              </w:rPr>
              <w:drawing>
                <wp:inline distT="0" distB="0" distL="0" distR="0" wp14:anchorId="4530532E" wp14:editId="69F3DA75">
                  <wp:extent cx="361950" cy="377671"/>
                  <wp:effectExtent l="0" t="0" r="0" b="3810"/>
                  <wp:docPr id="1100650243" name="Picture 37" descr="Attēlu rezultāti vaicājumam “virus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361950" cy="377671"/>
                          </a:xfrm>
                          <a:prstGeom prst="rect">
                            <a:avLst/>
                          </a:prstGeom>
                        </pic:spPr>
                      </pic:pic>
                    </a:graphicData>
                  </a:graphic>
                </wp:inline>
              </w:drawing>
            </w:r>
          </w:p>
        </w:tc>
      </w:tr>
      <w:tr w:rsidR="005160AC" w14:paraId="5E8F7209" w14:textId="77777777" w:rsidTr="20794AED">
        <w:tc>
          <w:tcPr>
            <w:tcW w:w="1652" w:type="dxa"/>
            <w:shd w:val="clear" w:color="auto" w:fill="E7E6E6" w:themeFill="background2"/>
          </w:tcPr>
          <w:p w14:paraId="30BC88BE" w14:textId="77777777" w:rsidR="005160AC" w:rsidRPr="00F264E6" w:rsidRDefault="005160AC" w:rsidP="008610FC">
            <w:pPr>
              <w:spacing w:before="120"/>
              <w:ind w:left="-120" w:right="-15"/>
              <w:jc w:val="center"/>
              <w:rPr>
                <w:rFonts w:asciiTheme="majorHAnsi" w:hAnsiTheme="majorHAnsi" w:cstheme="majorHAnsi"/>
              </w:rPr>
            </w:pPr>
            <w:r w:rsidRPr="00F264E6">
              <w:rPr>
                <w:rFonts w:asciiTheme="majorHAnsi" w:hAnsiTheme="majorHAnsi" w:cstheme="majorHAnsi"/>
              </w:rPr>
              <w:t>Pieprasījuma samazinājums eksporta noieta tirgos</w:t>
            </w:r>
          </w:p>
        </w:tc>
        <w:tc>
          <w:tcPr>
            <w:tcW w:w="1462" w:type="dxa"/>
          </w:tcPr>
          <w:p w14:paraId="4BD6A369" w14:textId="77777777" w:rsidR="005160AC" w:rsidRPr="00F264E6" w:rsidRDefault="005160AC" w:rsidP="008610FC">
            <w:pPr>
              <w:spacing w:before="120"/>
              <w:ind w:left="-120" w:right="-15"/>
              <w:jc w:val="center"/>
              <w:rPr>
                <w:rFonts w:asciiTheme="majorHAnsi" w:hAnsiTheme="majorHAnsi" w:cstheme="majorHAnsi"/>
              </w:rPr>
            </w:pPr>
            <w:r w:rsidRPr="00F264E6">
              <w:rPr>
                <w:rFonts w:asciiTheme="majorHAnsi" w:hAnsiTheme="majorHAnsi" w:cstheme="majorHAnsi"/>
              </w:rPr>
              <w:t>Kavējumi izejvielu piegāžu ķēdēs</w:t>
            </w:r>
          </w:p>
        </w:tc>
        <w:tc>
          <w:tcPr>
            <w:tcW w:w="1559" w:type="dxa"/>
            <w:shd w:val="clear" w:color="auto" w:fill="E7E6E6" w:themeFill="background2"/>
          </w:tcPr>
          <w:p w14:paraId="0447CA71" w14:textId="77777777" w:rsidR="005160AC" w:rsidRPr="00F264E6" w:rsidRDefault="005160AC" w:rsidP="008610FC">
            <w:pPr>
              <w:spacing w:before="120"/>
              <w:ind w:left="-120" w:right="-15"/>
              <w:jc w:val="center"/>
              <w:rPr>
                <w:rFonts w:asciiTheme="majorHAnsi" w:hAnsiTheme="majorHAnsi" w:cstheme="majorHAnsi"/>
              </w:rPr>
            </w:pPr>
            <w:r w:rsidRPr="00F264E6">
              <w:rPr>
                <w:rFonts w:asciiTheme="majorHAnsi" w:hAnsiTheme="majorHAnsi" w:cstheme="majorHAnsi"/>
              </w:rPr>
              <w:t>Sekas uz iekšzemes pakalpojumu nozarēm</w:t>
            </w:r>
          </w:p>
        </w:tc>
        <w:tc>
          <w:tcPr>
            <w:tcW w:w="1701" w:type="dxa"/>
          </w:tcPr>
          <w:p w14:paraId="512DF59D" w14:textId="77777777" w:rsidR="005160AC" w:rsidRPr="00F264E6" w:rsidRDefault="005160AC" w:rsidP="008610FC">
            <w:pPr>
              <w:spacing w:before="120"/>
              <w:ind w:left="-120" w:right="-15"/>
              <w:jc w:val="center"/>
              <w:rPr>
                <w:rFonts w:asciiTheme="majorHAnsi" w:hAnsiTheme="majorHAnsi" w:cstheme="majorHAnsi"/>
              </w:rPr>
            </w:pPr>
            <w:r w:rsidRPr="00F264E6">
              <w:rPr>
                <w:rFonts w:asciiTheme="majorHAnsi" w:hAnsiTheme="majorHAnsi" w:cstheme="majorHAnsi"/>
              </w:rPr>
              <w:t>Ierobežojumi starptautiskajā transportā</w:t>
            </w:r>
          </w:p>
        </w:tc>
        <w:tc>
          <w:tcPr>
            <w:tcW w:w="1418" w:type="dxa"/>
            <w:shd w:val="clear" w:color="auto" w:fill="E7E6E6" w:themeFill="background2"/>
          </w:tcPr>
          <w:p w14:paraId="6B347A73" w14:textId="77777777" w:rsidR="005160AC" w:rsidRPr="00F264E6" w:rsidRDefault="005160AC" w:rsidP="008610FC">
            <w:pPr>
              <w:spacing w:before="120"/>
              <w:ind w:left="-120" w:right="-15"/>
              <w:jc w:val="center"/>
              <w:rPr>
                <w:rFonts w:asciiTheme="majorHAnsi" w:hAnsiTheme="majorHAnsi" w:cstheme="majorHAnsi"/>
              </w:rPr>
            </w:pPr>
            <w:r w:rsidRPr="00F264E6">
              <w:rPr>
                <w:rFonts w:asciiTheme="majorHAnsi" w:hAnsiTheme="majorHAnsi" w:cstheme="majorHAnsi"/>
              </w:rPr>
              <w:t>Ceļotāju plūsmu samazinājums</w:t>
            </w:r>
          </w:p>
        </w:tc>
        <w:tc>
          <w:tcPr>
            <w:tcW w:w="2121" w:type="dxa"/>
          </w:tcPr>
          <w:p w14:paraId="574A75A0" w14:textId="77777777" w:rsidR="005160AC" w:rsidRPr="00F264E6" w:rsidRDefault="005160AC" w:rsidP="008610FC">
            <w:pPr>
              <w:spacing w:before="120"/>
              <w:ind w:left="-120" w:right="-15"/>
              <w:jc w:val="center"/>
              <w:rPr>
                <w:rFonts w:asciiTheme="majorHAnsi" w:hAnsiTheme="majorHAnsi" w:cstheme="majorHAnsi"/>
              </w:rPr>
            </w:pPr>
            <w:r w:rsidRPr="00F264E6">
              <w:rPr>
                <w:rFonts w:asciiTheme="majorHAnsi" w:hAnsiTheme="majorHAnsi" w:cstheme="majorHAnsi"/>
              </w:rPr>
              <w:t xml:space="preserve">Ietekme uz uzņēmumiem darbinieku karantīnas vai </w:t>
            </w:r>
            <w:proofErr w:type="spellStart"/>
            <w:r w:rsidRPr="00F264E6">
              <w:rPr>
                <w:rFonts w:asciiTheme="majorHAnsi" w:hAnsiTheme="majorHAnsi" w:cstheme="majorHAnsi"/>
              </w:rPr>
              <w:t>pašizolēšanās</w:t>
            </w:r>
            <w:proofErr w:type="spellEnd"/>
            <w:r w:rsidRPr="00F264E6">
              <w:rPr>
                <w:rFonts w:asciiTheme="majorHAnsi" w:hAnsiTheme="majorHAnsi" w:cstheme="majorHAnsi"/>
              </w:rPr>
              <w:t xml:space="preserve"> rezultātā</w:t>
            </w:r>
          </w:p>
        </w:tc>
      </w:tr>
    </w:tbl>
    <w:p w14:paraId="4016A739" w14:textId="77777777" w:rsidR="005160AC" w:rsidRPr="00F264E6" w:rsidRDefault="005160AC" w:rsidP="005160AC">
      <w:pPr>
        <w:spacing w:after="0" w:line="240" w:lineRule="auto"/>
        <w:jc w:val="both"/>
        <w:rPr>
          <w:rFonts w:asciiTheme="majorHAnsi" w:hAnsiTheme="majorHAnsi" w:cstheme="majorHAnsi"/>
          <w:sz w:val="16"/>
          <w:szCs w:val="16"/>
        </w:rPr>
      </w:pPr>
    </w:p>
    <w:p w14:paraId="401A1B63" w14:textId="77777777" w:rsidR="005160AC" w:rsidRPr="00F264E6" w:rsidRDefault="005160AC" w:rsidP="005160AC">
      <w:pPr>
        <w:spacing w:after="0" w:line="240" w:lineRule="auto"/>
        <w:jc w:val="both"/>
        <w:rPr>
          <w:rFonts w:asciiTheme="majorHAnsi" w:hAnsiTheme="majorHAnsi" w:cstheme="majorHAnsi"/>
          <w:sz w:val="24"/>
          <w:szCs w:val="24"/>
        </w:rPr>
      </w:pPr>
      <w:r w:rsidRPr="00F264E6">
        <w:rPr>
          <w:rFonts w:asciiTheme="majorHAnsi" w:hAnsiTheme="majorHAnsi" w:cstheme="majorHAnsi"/>
          <w:sz w:val="24"/>
          <w:szCs w:val="24"/>
        </w:rPr>
        <w:lastRenderedPageBreak/>
        <w:t xml:space="preserve">Pašreizējā situācija ekonomikā nav saistīta ar problēmām finanšu tirgos vai ekonomikas nesabalansētību. Cēlonis ir Covid-19 vīruss, kura ierobežošana ir galvenais uzdevums, un vīrusa izplatības ierobežošanas soļi un to nepieciešams panākt pēc iespējas ātrāk. Arī Latvijas tautsaimniecība Covid-19 krīzes ietekmē piedzīvo strauju ekonomikas samazināšanos. </w:t>
      </w:r>
    </w:p>
    <w:p w14:paraId="44996B19" w14:textId="77777777" w:rsidR="005160AC" w:rsidRPr="00F264E6" w:rsidRDefault="005160AC" w:rsidP="005160AC">
      <w:pPr>
        <w:spacing w:after="40" w:line="240" w:lineRule="auto"/>
        <w:jc w:val="both"/>
        <w:rPr>
          <w:rFonts w:asciiTheme="majorHAnsi" w:hAnsiTheme="majorHAnsi" w:cstheme="majorHAnsi"/>
        </w:rPr>
      </w:pPr>
      <w:r w:rsidRPr="00F264E6">
        <w:rPr>
          <w:rFonts w:asciiTheme="majorHAnsi" w:hAnsiTheme="majorHAnsi" w:cstheme="majorHAnsi"/>
        </w:rPr>
        <w:t xml:space="preserve"> </w:t>
      </w:r>
    </w:p>
    <w:p w14:paraId="55F2F1DF" w14:textId="77777777" w:rsidR="005160AC" w:rsidRPr="005160AC" w:rsidRDefault="005160AC" w:rsidP="005160AC">
      <w:pPr>
        <w:spacing w:after="0" w:line="240" w:lineRule="auto"/>
        <w:rPr>
          <w:rFonts w:asciiTheme="majorHAnsi" w:hAnsiTheme="majorHAnsi" w:cstheme="majorHAnsi"/>
          <w:b/>
          <w:color w:val="44546A" w:themeColor="text2"/>
          <w:sz w:val="18"/>
          <w:szCs w:val="18"/>
        </w:rPr>
      </w:pPr>
    </w:p>
    <w:p w14:paraId="4CAE7885" w14:textId="5AA62120" w:rsidR="005160AC" w:rsidRDefault="005160AC" w:rsidP="005160AC">
      <w:pPr>
        <w:spacing w:after="0" w:line="240" w:lineRule="auto"/>
        <w:rPr>
          <w:rFonts w:asciiTheme="majorHAnsi" w:hAnsiTheme="majorHAnsi" w:cstheme="majorHAnsi"/>
          <w:b/>
          <w:color w:val="44546A" w:themeColor="text2"/>
          <w:sz w:val="26"/>
          <w:szCs w:val="26"/>
        </w:rPr>
      </w:pPr>
      <w:r w:rsidRPr="00A647B9">
        <w:rPr>
          <w:rFonts w:asciiTheme="majorHAnsi" w:hAnsiTheme="majorHAnsi" w:cstheme="majorHAnsi"/>
          <w:b/>
          <w:color w:val="44546A" w:themeColor="text2"/>
          <w:sz w:val="26"/>
          <w:szCs w:val="26"/>
        </w:rPr>
        <w:t>IETEKME UZ LATVIJAS TAUTSAIMNIECĪBU</w:t>
      </w:r>
    </w:p>
    <w:p w14:paraId="3251AB88" w14:textId="77777777" w:rsidR="005160AC" w:rsidRPr="00A647B9" w:rsidRDefault="005160AC" w:rsidP="005160AC">
      <w:pPr>
        <w:spacing w:after="0" w:line="240" w:lineRule="auto"/>
        <w:rPr>
          <w:rFonts w:asciiTheme="majorHAnsi" w:hAnsiTheme="majorHAnsi" w:cstheme="majorHAnsi"/>
          <w:b/>
          <w:color w:val="44546A" w:themeColor="text2"/>
          <w:sz w:val="26"/>
          <w:szCs w:val="26"/>
        </w:rPr>
      </w:pPr>
    </w:p>
    <w:tbl>
      <w:tblPr>
        <w:tblStyle w:val="TableGrid"/>
        <w:tblpPr w:leftFromText="180" w:rightFromText="180" w:vertAnchor="text" w:horzAnchor="margin" w:tblpXSpec="right" w:tblpY="68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5160AC" w14:paraId="358AE553" w14:textId="77777777" w:rsidTr="008610FC">
        <w:tc>
          <w:tcPr>
            <w:tcW w:w="5949" w:type="dxa"/>
          </w:tcPr>
          <w:p w14:paraId="60A1404B" w14:textId="77777777" w:rsidR="005160AC" w:rsidRPr="001D2CC9" w:rsidRDefault="005160AC" w:rsidP="008610FC">
            <w:pPr>
              <w:shd w:val="clear" w:color="auto" w:fill="D9D9D9" w:themeFill="background1" w:themeFillShade="D9"/>
              <w:spacing w:before="60" w:after="60"/>
              <w:jc w:val="right"/>
              <w:rPr>
                <w:rFonts w:asciiTheme="majorHAnsi" w:hAnsiTheme="majorHAnsi" w:cstheme="majorHAnsi"/>
                <w:b/>
                <w:bCs/>
              </w:rPr>
            </w:pPr>
            <w:r w:rsidRPr="001D2CC9">
              <w:rPr>
                <w:rFonts w:asciiTheme="majorHAnsi" w:hAnsiTheme="majorHAnsi" w:cstheme="majorHAnsi"/>
                <w:b/>
                <w:bCs/>
              </w:rPr>
              <w:t>IKP dinamika, % pret iepriekšējo gadu</w:t>
            </w:r>
          </w:p>
          <w:p w14:paraId="252C74D5" w14:textId="77777777" w:rsidR="005160AC" w:rsidRDefault="005160AC" w:rsidP="008610FC">
            <w:pPr>
              <w:jc w:val="right"/>
              <w:rPr>
                <w:rFonts w:asciiTheme="majorHAnsi" w:hAnsiTheme="majorHAnsi" w:cstheme="majorHAnsi"/>
                <w:b/>
                <w:bCs/>
                <w:sz w:val="24"/>
                <w:szCs w:val="24"/>
              </w:rPr>
            </w:pPr>
            <w:r w:rsidRPr="00F264E6">
              <w:rPr>
                <w:rFonts w:asciiTheme="majorHAnsi" w:eastAsia="Times New Roman" w:hAnsiTheme="majorHAnsi" w:cstheme="majorHAnsi"/>
                <w:noProof/>
                <w:szCs w:val="24"/>
                <w:lang w:eastAsia="lv-LV"/>
              </w:rPr>
              <mc:AlternateContent>
                <mc:Choice Requires="wps">
                  <w:drawing>
                    <wp:anchor distT="0" distB="0" distL="114300" distR="114300" simplePos="0" relativeHeight="251659264" behindDoc="0" locked="0" layoutInCell="1" allowOverlap="1" wp14:anchorId="4B10B709" wp14:editId="5B4AA9C3">
                      <wp:simplePos x="0" y="0"/>
                      <wp:positionH relativeFrom="column">
                        <wp:posOffset>2177415</wp:posOffset>
                      </wp:positionH>
                      <wp:positionV relativeFrom="paragraph">
                        <wp:posOffset>1127125</wp:posOffset>
                      </wp:positionV>
                      <wp:extent cx="542925" cy="251460"/>
                      <wp:effectExtent l="0" t="190500" r="28575" b="15240"/>
                      <wp:wrapNone/>
                      <wp:docPr id="10" name="Speech Bubble: Rectangle 10"/>
                      <wp:cNvGraphicFramePr/>
                      <a:graphic xmlns:a="http://schemas.openxmlformats.org/drawingml/2006/main">
                        <a:graphicData uri="http://schemas.microsoft.com/office/word/2010/wordprocessingShape">
                          <wps:wsp>
                            <wps:cNvSpPr/>
                            <wps:spPr>
                              <a:xfrm>
                                <a:off x="0" y="0"/>
                                <a:ext cx="542925" cy="251460"/>
                              </a:xfrm>
                              <a:prstGeom prst="wedgeRectCallout">
                                <a:avLst>
                                  <a:gd name="adj1" fmla="val 47014"/>
                                  <a:gd name="adj2" fmla="val -11179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47D192" w14:textId="77777777" w:rsidR="005160AC" w:rsidRPr="00785FBD" w:rsidRDefault="005160AC" w:rsidP="005160AC">
                                  <w:pPr>
                                    <w:jc w:val="center"/>
                                    <w:rPr>
                                      <w:color w:val="FF0000"/>
                                      <w:sz w:val="20"/>
                                      <w:szCs w:val="20"/>
                                    </w:rPr>
                                  </w:pPr>
                                  <w:r w:rsidRPr="00785FBD">
                                    <w:rPr>
                                      <w:color w:val="FF0000"/>
                                      <w:sz w:val="20"/>
                                      <w:szCs w:val="20"/>
                                    </w:rPr>
                                    <w:t>-</w:t>
                                  </w:r>
                                  <w:r>
                                    <w:rPr>
                                      <w:color w:val="FF0000"/>
                                      <w:sz w:val="20"/>
                                      <w:szCs w:val="20"/>
                                    </w:rPr>
                                    <w:t>6</w:t>
                                  </w:r>
                                  <w:r w:rsidRPr="00785FBD">
                                    <w:rPr>
                                      <w:color w:val="FF0000"/>
                                      <w:sz w:val="20"/>
                                      <w:szCs w:val="20"/>
                                    </w:rPr>
                                    <w:t xml:space="preserve">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c="http://schemas.openxmlformats.org/drawingml/2006/chart" xmlns:a14="http://schemas.microsoft.com/office/drawing/2010/main" xmlns:pic="http://schemas.openxmlformats.org/drawingml/2006/picture" xmlns:a="http://schemas.openxmlformats.org/drawingml/2006/main">
                  <w:pict w14:anchorId="607D7F2D">
                    <v:shapetype id="_x0000_t61" coordsize="21600,21600" o:spt="61" adj="1350,25920" path="m,l0@8@12@24,0@9,,21600@6,21600@15@27@7,21600,21600,21600,21600@9@18@30,21600@8,21600,0@7,0@21@33@6,xe" w14:anchorId="4B10B709">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0" style="position:absolute;left:0;text-align:left;margin-left:171.45pt;margin-top:88.75pt;width:42.7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3763 [1604]" strokeweight="1pt" type="#_x0000_t61" adj="20955,-13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">
                      <v:textbox>
                        <w:txbxContent>
                          <w:p w:rsidRPr="00785FBD" w:rsidR="005160AC" w:rsidP="005160AC" w:rsidRDefault="005160AC" w14:paraId="65AE5F95" w14:textId="77777777">
                            <w:pPr>
                              <w:jc w:val="center"/>
                              <w:rPr>
                                <w:color w:val="FF0000"/>
                                <w:sz w:val="20"/>
                                <w:szCs w:val="20"/>
                              </w:rPr>
                            </w:pPr>
                            <w:r w:rsidRPr="00785FBD">
                              <w:rPr>
                                <w:color w:val="FF0000"/>
                                <w:sz w:val="20"/>
                                <w:szCs w:val="20"/>
                              </w:rPr>
                              <w:t>-</w:t>
                            </w:r>
                            <w:r>
                              <w:rPr>
                                <w:color w:val="FF0000"/>
                                <w:sz w:val="20"/>
                                <w:szCs w:val="20"/>
                              </w:rPr>
                              <w:t>6</w:t>
                            </w:r>
                            <w:r w:rsidRPr="00785FBD">
                              <w:rPr>
                                <w:color w:val="FF0000"/>
                                <w:sz w:val="20"/>
                                <w:szCs w:val="20"/>
                              </w:rPr>
                              <w:t xml:space="preserve"> </w:t>
                            </w:r>
                            <w:proofErr w:type="spellStart"/>
                            <w:r w:rsidRPr="00785FBD">
                              <w:rPr>
                                <w:color w:val="FF0000"/>
                                <w:sz w:val="20"/>
                                <w:szCs w:val="20"/>
                              </w:rPr>
                              <w:t>pp</w:t>
                            </w:r>
                            <w:proofErr w:type="spellEnd"/>
                          </w:p>
                        </w:txbxContent>
                      </v:textbox>
                    </v:shape>
                  </w:pict>
                </mc:Fallback>
              </mc:AlternateContent>
            </w:r>
            <w:r w:rsidRPr="00F264E6">
              <w:rPr>
                <w:rFonts w:asciiTheme="majorHAnsi" w:eastAsia="Times New Roman" w:hAnsiTheme="majorHAnsi" w:cstheme="majorHAnsi"/>
                <w:noProof/>
                <w:szCs w:val="24"/>
                <w:lang w:eastAsia="lv-LV"/>
              </w:rPr>
              <mc:AlternateContent>
                <mc:Choice Requires="wps">
                  <w:drawing>
                    <wp:anchor distT="0" distB="0" distL="114300" distR="114300" simplePos="0" relativeHeight="251660288" behindDoc="0" locked="0" layoutInCell="1" allowOverlap="1" wp14:anchorId="5A5F8158" wp14:editId="1CF1EF34">
                      <wp:simplePos x="0" y="0"/>
                      <wp:positionH relativeFrom="column">
                        <wp:posOffset>3041015</wp:posOffset>
                      </wp:positionH>
                      <wp:positionV relativeFrom="paragraph">
                        <wp:posOffset>73025</wp:posOffset>
                      </wp:positionV>
                      <wp:extent cx="600075" cy="251460"/>
                      <wp:effectExtent l="0" t="0" r="28575" b="224790"/>
                      <wp:wrapNone/>
                      <wp:docPr id="11" name="Speech Bubble: Rectangle 11"/>
                      <wp:cNvGraphicFramePr/>
                      <a:graphic xmlns:a="http://schemas.openxmlformats.org/drawingml/2006/main">
                        <a:graphicData uri="http://schemas.microsoft.com/office/word/2010/wordprocessingShape">
                          <wps:wsp>
                            <wps:cNvSpPr/>
                            <wps:spPr>
                              <a:xfrm>
                                <a:off x="0" y="0"/>
                                <a:ext cx="600075" cy="251460"/>
                              </a:xfrm>
                              <a:prstGeom prst="wedgeRectCallout">
                                <a:avLst>
                                  <a:gd name="adj1" fmla="val -7035"/>
                                  <a:gd name="adj2" fmla="val 12227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769B5DA" w14:textId="77777777" w:rsidR="005160AC" w:rsidRPr="00785FBD" w:rsidRDefault="005160AC" w:rsidP="005160AC">
                                  <w:pPr>
                                    <w:jc w:val="center"/>
                                    <w:rPr>
                                      <w:color w:val="FF0000"/>
                                      <w:sz w:val="20"/>
                                      <w:szCs w:val="20"/>
                                    </w:rPr>
                                  </w:pPr>
                                  <w:r w:rsidRPr="00785FBD">
                                    <w:rPr>
                                      <w:color w:val="FF0000"/>
                                      <w:sz w:val="20"/>
                                      <w:szCs w:val="20"/>
                                    </w:rPr>
                                    <w:t>-</w:t>
                                  </w:r>
                                  <w:r>
                                    <w:rPr>
                                      <w:color w:val="FF0000"/>
                                      <w:sz w:val="20"/>
                                      <w:szCs w:val="20"/>
                                    </w:rPr>
                                    <w:t>10</w:t>
                                  </w:r>
                                  <w:r w:rsidRPr="00785FBD">
                                    <w:rPr>
                                      <w:color w:val="FF0000"/>
                                      <w:sz w:val="20"/>
                                      <w:szCs w:val="20"/>
                                    </w:rPr>
                                    <w:t xml:space="preserve"> 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c="http://schemas.openxmlformats.org/drawingml/2006/chart" xmlns:a14="http://schemas.microsoft.com/office/drawing/2010/main" xmlns:pic="http://schemas.openxmlformats.org/drawingml/2006/picture" xmlns:a="http://schemas.openxmlformats.org/drawingml/2006/main">
                  <w:pict w14:anchorId="58EE75CA">
                    <v:shape id="Speech Bubble: Rectangle 11" style="position:absolute;left:0;text-align:left;margin-left:239.45pt;margin-top:5.75pt;width:47.2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1f3763 [1604]" strokeweight="1pt" type="#_x0000_t61" adj="9280,37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" w14:anchorId="5A5F8158">
                      <v:textbox>
                        <w:txbxContent>
                          <w:p w:rsidRPr="00785FBD" w:rsidR="005160AC" w:rsidP="005160AC" w:rsidRDefault="005160AC" w14:paraId="7A81DA86" w14:textId="77777777">
                            <w:pPr>
                              <w:jc w:val="center"/>
                              <w:rPr>
                                <w:color w:val="FF0000"/>
                                <w:sz w:val="20"/>
                                <w:szCs w:val="20"/>
                              </w:rPr>
                            </w:pPr>
                            <w:r w:rsidRPr="00785FBD">
                              <w:rPr>
                                <w:color w:val="FF0000"/>
                                <w:sz w:val="20"/>
                                <w:szCs w:val="20"/>
                              </w:rPr>
                              <w:t>-</w:t>
                            </w:r>
                            <w:r>
                              <w:rPr>
                                <w:color w:val="FF0000"/>
                                <w:sz w:val="20"/>
                                <w:szCs w:val="20"/>
                              </w:rPr>
                              <w:t>10</w:t>
                            </w:r>
                            <w:r w:rsidRPr="00785FBD">
                              <w:rPr>
                                <w:color w:val="FF0000"/>
                                <w:sz w:val="20"/>
                                <w:szCs w:val="20"/>
                              </w:rPr>
                              <w:t xml:space="preserve"> </w:t>
                            </w:r>
                            <w:proofErr w:type="spellStart"/>
                            <w:r w:rsidRPr="00785FBD">
                              <w:rPr>
                                <w:color w:val="FF0000"/>
                                <w:sz w:val="20"/>
                                <w:szCs w:val="20"/>
                              </w:rPr>
                              <w:t>pp</w:t>
                            </w:r>
                            <w:proofErr w:type="spellEnd"/>
                          </w:p>
                        </w:txbxContent>
                      </v:textbox>
                    </v:shape>
                  </w:pict>
                </mc:Fallback>
              </mc:AlternateContent>
            </w:r>
            <w:r w:rsidRPr="00F264E6">
              <w:rPr>
                <w:rFonts w:asciiTheme="majorHAnsi" w:eastAsia="Times New Roman" w:hAnsiTheme="majorHAnsi" w:cstheme="majorHAnsi"/>
                <w:noProof/>
                <w:szCs w:val="24"/>
                <w:lang w:eastAsia="lv-LV"/>
              </w:rPr>
              <w:drawing>
                <wp:inline distT="0" distB="0" distL="0" distR="0" wp14:anchorId="08725664" wp14:editId="2FE91938">
                  <wp:extent cx="3527425" cy="244792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5160AC" w:rsidRPr="009615EA" w14:paraId="64E67E3A" w14:textId="77777777" w:rsidTr="008610FC">
        <w:trPr>
          <w:cantSplit/>
          <w:trHeight w:val="1485"/>
        </w:trPr>
        <w:tc>
          <w:tcPr>
            <w:tcW w:w="5949" w:type="dxa"/>
            <w:shd w:val="clear" w:color="auto" w:fill="auto"/>
            <w:textDirection w:val="btLr"/>
            <w:vAlign w:val="bottom"/>
          </w:tcPr>
          <w:p w14:paraId="2C8C61BE" w14:textId="77777777" w:rsidR="005160AC" w:rsidRPr="00F264E6" w:rsidRDefault="005160AC" w:rsidP="008610FC">
            <w:pPr>
              <w:spacing w:after="240"/>
              <w:ind w:left="113" w:right="57"/>
              <w:jc w:val="right"/>
              <w:rPr>
                <w:rFonts w:asciiTheme="majorHAnsi" w:hAnsiTheme="majorHAnsi" w:cstheme="majorHAnsi"/>
                <w:sz w:val="20"/>
                <w:szCs w:val="20"/>
              </w:rPr>
            </w:pPr>
            <w:r w:rsidRPr="00F264E6">
              <w:rPr>
                <w:rFonts w:asciiTheme="majorHAnsi" w:hAnsiTheme="majorHAnsi" w:cstheme="majorHAnsi"/>
                <w:sz w:val="20"/>
                <w:szCs w:val="20"/>
              </w:rPr>
              <w:t>Janvāra prognoze</w:t>
            </w:r>
          </w:p>
          <w:p w14:paraId="208E7F88" w14:textId="77777777" w:rsidR="005160AC" w:rsidRPr="00F264E6" w:rsidRDefault="005160AC" w:rsidP="008610FC">
            <w:pPr>
              <w:spacing w:after="240"/>
              <w:ind w:left="113" w:right="57"/>
              <w:jc w:val="right"/>
              <w:rPr>
                <w:rFonts w:asciiTheme="majorHAnsi" w:hAnsiTheme="majorHAnsi" w:cstheme="majorHAnsi"/>
                <w:sz w:val="20"/>
                <w:szCs w:val="20"/>
              </w:rPr>
            </w:pPr>
            <w:r w:rsidRPr="00F264E6">
              <w:rPr>
                <w:rFonts w:asciiTheme="majorHAnsi" w:hAnsiTheme="majorHAnsi" w:cstheme="majorHAnsi"/>
                <w:sz w:val="20"/>
                <w:szCs w:val="20"/>
              </w:rPr>
              <w:t>Optimistiskais scenārijs</w:t>
            </w:r>
          </w:p>
          <w:p w14:paraId="15BF3F27" w14:textId="77777777" w:rsidR="005160AC" w:rsidRPr="00F264E6" w:rsidRDefault="005160AC" w:rsidP="008610FC">
            <w:pPr>
              <w:spacing w:after="240"/>
              <w:ind w:left="113" w:right="57"/>
              <w:jc w:val="right"/>
              <w:rPr>
                <w:rFonts w:asciiTheme="majorHAnsi" w:hAnsiTheme="majorHAnsi" w:cstheme="majorHAnsi"/>
                <w:sz w:val="20"/>
                <w:szCs w:val="20"/>
              </w:rPr>
            </w:pPr>
            <w:r w:rsidRPr="00F264E6">
              <w:rPr>
                <w:rFonts w:asciiTheme="majorHAnsi" w:hAnsiTheme="majorHAnsi" w:cstheme="majorHAnsi"/>
                <w:sz w:val="20"/>
                <w:szCs w:val="20"/>
              </w:rPr>
              <w:t>Pesimistiskais scenārijs</w:t>
            </w:r>
          </w:p>
        </w:tc>
      </w:tr>
    </w:tbl>
    <w:p w14:paraId="798566B6" w14:textId="77777777" w:rsidR="005160AC" w:rsidRPr="00A647B9" w:rsidRDefault="005160AC" w:rsidP="005160AC">
      <w:pPr>
        <w:spacing w:after="40" w:line="240" w:lineRule="auto"/>
        <w:jc w:val="both"/>
        <w:rPr>
          <w:rFonts w:asciiTheme="majorHAnsi" w:hAnsiTheme="majorHAnsi" w:cstheme="majorHAnsi"/>
          <w:sz w:val="24"/>
          <w:szCs w:val="24"/>
        </w:rPr>
      </w:pPr>
      <w:r w:rsidRPr="00A647B9">
        <w:rPr>
          <w:rFonts w:asciiTheme="majorHAnsi" w:hAnsiTheme="majorHAnsi" w:cstheme="majorHAnsi"/>
          <w:b/>
          <w:sz w:val="24"/>
          <w:szCs w:val="24"/>
          <w:u w:val="single"/>
        </w:rPr>
        <w:t>Optimistiskais scenārijs</w:t>
      </w:r>
      <w:r w:rsidRPr="00A647B9">
        <w:rPr>
          <w:rFonts w:asciiTheme="majorHAnsi" w:hAnsiTheme="majorHAnsi" w:cstheme="majorHAnsi"/>
          <w:sz w:val="24"/>
          <w:szCs w:val="24"/>
        </w:rPr>
        <w:t xml:space="preserve"> balstās uz pieņēmumu, ka vīrusa izplatība Eiropā un Latvijā līdzīgi kā pēc Ķīnas scenārija norisinās 2-3 mēnešus un </w:t>
      </w:r>
      <w:proofErr w:type="spellStart"/>
      <w:r w:rsidRPr="00A647B9">
        <w:rPr>
          <w:rFonts w:asciiTheme="majorHAnsi" w:hAnsiTheme="majorHAnsi" w:cstheme="majorHAnsi"/>
          <w:sz w:val="24"/>
          <w:szCs w:val="24"/>
        </w:rPr>
        <w:t>Eirozonas</w:t>
      </w:r>
      <w:proofErr w:type="spellEnd"/>
      <w:r w:rsidRPr="00A647B9">
        <w:rPr>
          <w:rFonts w:asciiTheme="majorHAnsi" w:hAnsiTheme="majorHAnsi" w:cstheme="majorHAnsi"/>
          <w:sz w:val="24"/>
          <w:szCs w:val="24"/>
        </w:rPr>
        <w:t xml:space="preserve"> ekonomikā lejupslīde ir mērena. Ekonomikas aktivitāte salīdzinoši strauji sāk atjaunoties maijā. </w:t>
      </w:r>
      <w:r w:rsidRPr="00A647B9">
        <w:rPr>
          <w:rFonts w:asciiTheme="majorHAnsi" w:hAnsiTheme="majorHAnsi" w:cstheme="majorHAnsi"/>
          <w:b/>
          <w:sz w:val="24"/>
          <w:szCs w:val="24"/>
        </w:rPr>
        <w:t>Pēc Ekonomikas ministrijas aplēsēm kopējā ietekme uz IKP varētu sastādīt vismaz 6 procentpunktus</w:t>
      </w:r>
      <w:r w:rsidRPr="00A647B9">
        <w:rPr>
          <w:rFonts w:asciiTheme="majorHAnsi" w:hAnsiTheme="majorHAnsi" w:cstheme="majorHAnsi"/>
          <w:sz w:val="24"/>
          <w:szCs w:val="24"/>
        </w:rPr>
        <w:t xml:space="preserve">. </w:t>
      </w:r>
    </w:p>
    <w:p w14:paraId="0DC246B0" w14:textId="77777777" w:rsidR="005160AC" w:rsidRPr="00A647B9" w:rsidRDefault="005160AC" w:rsidP="005160AC">
      <w:pPr>
        <w:spacing w:after="40" w:line="240" w:lineRule="auto"/>
        <w:jc w:val="both"/>
        <w:rPr>
          <w:rFonts w:asciiTheme="majorHAnsi" w:hAnsiTheme="majorHAnsi" w:cstheme="majorHAnsi"/>
          <w:sz w:val="24"/>
          <w:szCs w:val="24"/>
        </w:rPr>
      </w:pPr>
      <w:r w:rsidRPr="00A647B9">
        <w:rPr>
          <w:rFonts w:asciiTheme="majorHAnsi" w:hAnsiTheme="majorHAnsi" w:cstheme="majorHAnsi"/>
          <w:b/>
          <w:sz w:val="24"/>
          <w:szCs w:val="24"/>
          <w:u w:val="single"/>
        </w:rPr>
        <w:t>Pesimistiskākajā scenārijā</w:t>
      </w:r>
      <w:r w:rsidRPr="00A647B9">
        <w:rPr>
          <w:rFonts w:asciiTheme="majorHAnsi" w:hAnsiTheme="majorHAnsi" w:cstheme="majorHAnsi"/>
          <w:sz w:val="24"/>
          <w:szCs w:val="24"/>
        </w:rPr>
        <w:t xml:space="preserve"> pieņemts, ka vīrusa izplatība paplašinās un tā ierobežošanai ir nepieciešams ilgāks laiks, bet Pasaules ekonomikas lejupslīde ir dziļāka. </w:t>
      </w:r>
      <w:r w:rsidRPr="00A647B9">
        <w:rPr>
          <w:rFonts w:asciiTheme="majorHAnsi" w:hAnsiTheme="majorHAnsi" w:cstheme="majorHAnsi"/>
          <w:b/>
          <w:sz w:val="24"/>
          <w:szCs w:val="24"/>
        </w:rPr>
        <w:t xml:space="preserve">Šādā scenārijā, salīdzinot ar sākotnēji prognozēto izaugsmi, IKP dinamika var samazināties par 10 procentpunktiem. IKP var sarukt par 8%, salīdzinot ar 2019.gadu. </w:t>
      </w:r>
      <w:r w:rsidRPr="00A647B9">
        <w:rPr>
          <w:rFonts w:asciiTheme="majorHAnsi" w:hAnsiTheme="majorHAnsi" w:cstheme="majorHAnsi"/>
          <w:sz w:val="24"/>
          <w:szCs w:val="24"/>
        </w:rPr>
        <w:t>Pie tam pastāv risks, ka vīrusa iedarbība Pasaulē būs ilgāka un plašāka, pandēmijas otrā viļņa gadījumā tad negatīvā ietekme uz Latvijas ekonomiku būs vēl izteiktāka un ekonomika var nonākt vēl dziļākā recesijā.</w:t>
      </w:r>
    </w:p>
    <w:p w14:paraId="711E7712" w14:textId="27B84ABB" w:rsidR="005160AC" w:rsidRDefault="005160AC" w:rsidP="005160AC">
      <w:pPr>
        <w:spacing w:after="0" w:line="240" w:lineRule="auto"/>
        <w:jc w:val="both"/>
        <w:rPr>
          <w:rFonts w:asciiTheme="majorHAnsi" w:hAnsiTheme="majorHAnsi" w:cstheme="majorHAnsi"/>
          <w:sz w:val="8"/>
          <w:szCs w:val="8"/>
        </w:rPr>
      </w:pPr>
    </w:p>
    <w:p w14:paraId="6417B722" w14:textId="7CD96CF6" w:rsidR="005160AC" w:rsidRDefault="005160AC" w:rsidP="005160AC">
      <w:pPr>
        <w:spacing w:after="0" w:line="240" w:lineRule="auto"/>
        <w:jc w:val="both"/>
        <w:rPr>
          <w:rFonts w:asciiTheme="majorHAnsi" w:hAnsiTheme="majorHAnsi" w:cstheme="majorHAnsi"/>
          <w:sz w:val="8"/>
          <w:szCs w:val="8"/>
        </w:rPr>
      </w:pPr>
    </w:p>
    <w:p w14:paraId="3C3622DC" w14:textId="77777777" w:rsidR="005160AC" w:rsidRPr="00542C54" w:rsidRDefault="005160AC" w:rsidP="005160AC">
      <w:pPr>
        <w:spacing w:after="0" w:line="240" w:lineRule="auto"/>
        <w:jc w:val="both"/>
        <w:rPr>
          <w:rFonts w:asciiTheme="majorHAnsi" w:hAnsiTheme="majorHAnsi" w:cstheme="majorHAnsi"/>
          <w:sz w:val="8"/>
          <w:szCs w:val="8"/>
        </w:rPr>
      </w:pPr>
    </w:p>
    <w:p w14:paraId="38CAE307" w14:textId="77777777" w:rsidR="005160AC" w:rsidRPr="001B7170" w:rsidRDefault="005160AC" w:rsidP="005160AC">
      <w:pPr>
        <w:spacing w:after="0" w:line="240" w:lineRule="auto"/>
        <w:jc w:val="both"/>
        <w:rPr>
          <w:rFonts w:asciiTheme="majorHAnsi" w:hAnsiTheme="majorHAnsi" w:cstheme="majorHAnsi"/>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5857"/>
      </w:tblGrid>
      <w:tr w:rsidR="005160AC" w:rsidRPr="0072491E" w14:paraId="7FD98350" w14:textId="77777777" w:rsidTr="008610FC">
        <w:tc>
          <w:tcPr>
            <w:tcW w:w="3979" w:type="dxa"/>
            <w:shd w:val="clear" w:color="auto" w:fill="D9D9D9" w:themeFill="background1" w:themeFillShade="D9"/>
          </w:tcPr>
          <w:p w14:paraId="5A745630" w14:textId="77777777" w:rsidR="005160AC" w:rsidRPr="0072491E" w:rsidRDefault="005160AC" w:rsidP="008610FC">
            <w:pPr>
              <w:jc w:val="right"/>
              <w:rPr>
                <w:rFonts w:asciiTheme="majorHAnsi" w:hAnsiTheme="majorHAnsi" w:cstheme="majorHAnsi"/>
                <w:b/>
                <w:bCs/>
              </w:rPr>
            </w:pPr>
            <w:r w:rsidRPr="0072491E">
              <w:rPr>
                <w:rFonts w:asciiTheme="majorHAnsi" w:hAnsiTheme="majorHAnsi" w:cstheme="majorHAnsi"/>
                <w:b/>
                <w:bCs/>
              </w:rPr>
              <w:t>IKP dinamika 2020.gadā ceturkšņu griezumā (t/t-4, %)</w:t>
            </w:r>
          </w:p>
        </w:tc>
        <w:tc>
          <w:tcPr>
            <w:tcW w:w="5942" w:type="dxa"/>
            <w:shd w:val="clear" w:color="auto" w:fill="D9D9D9" w:themeFill="background1" w:themeFillShade="D9"/>
          </w:tcPr>
          <w:p w14:paraId="3C1B56B0" w14:textId="77777777" w:rsidR="005160AC" w:rsidRPr="0072491E" w:rsidRDefault="005160AC" w:rsidP="008610FC">
            <w:pPr>
              <w:jc w:val="right"/>
              <w:rPr>
                <w:rFonts w:asciiTheme="majorHAnsi" w:hAnsiTheme="majorHAnsi" w:cstheme="majorHAnsi"/>
                <w:b/>
                <w:bCs/>
              </w:rPr>
            </w:pPr>
            <w:r w:rsidRPr="0072491E">
              <w:rPr>
                <w:rFonts w:asciiTheme="majorHAnsi" w:hAnsiTheme="majorHAnsi" w:cstheme="majorHAnsi"/>
                <w:b/>
                <w:bCs/>
              </w:rPr>
              <w:t>IKP izlietojuma posteņi faktiskajās cenās un zaudējumi 2020.gadā miljardos EUR</w:t>
            </w:r>
          </w:p>
        </w:tc>
      </w:tr>
      <w:tr w:rsidR="005160AC" w14:paraId="43ED49B7" w14:textId="77777777" w:rsidTr="008610FC">
        <w:tc>
          <w:tcPr>
            <w:tcW w:w="3979" w:type="dxa"/>
          </w:tcPr>
          <w:p w14:paraId="568F8B0C" w14:textId="77777777" w:rsidR="005160AC" w:rsidRDefault="005160AC" w:rsidP="008610FC">
            <w:pPr>
              <w:jc w:val="both"/>
              <w:rPr>
                <w:rFonts w:asciiTheme="majorHAnsi" w:hAnsiTheme="majorHAnsi" w:cstheme="majorHAnsi"/>
              </w:rPr>
            </w:pPr>
            <w:r w:rsidRPr="00F264E6">
              <w:rPr>
                <w:rFonts w:asciiTheme="majorHAnsi" w:eastAsia="Times New Roman" w:hAnsiTheme="majorHAnsi" w:cstheme="majorHAnsi"/>
                <w:noProof/>
                <w:szCs w:val="24"/>
                <w:lang w:eastAsia="lv-LV"/>
              </w:rPr>
              <w:drawing>
                <wp:inline distT="0" distB="0" distL="0" distR="0" wp14:anchorId="45388C5A" wp14:editId="079B97BE">
                  <wp:extent cx="2428875" cy="2381250"/>
                  <wp:effectExtent l="0" t="0" r="0" b="0"/>
                  <wp:docPr id="38"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5942" w:type="dxa"/>
          </w:tcPr>
          <w:p w14:paraId="5BD63648" w14:textId="77777777" w:rsidR="005160AC" w:rsidRDefault="005160AC" w:rsidP="008610FC">
            <w:pPr>
              <w:jc w:val="both"/>
              <w:rPr>
                <w:rFonts w:asciiTheme="majorHAnsi" w:hAnsiTheme="majorHAnsi" w:cstheme="majorHAnsi"/>
              </w:rPr>
            </w:pPr>
            <w:r w:rsidRPr="00F264E6">
              <w:rPr>
                <w:rFonts w:asciiTheme="majorHAnsi" w:eastAsia="Times New Roman" w:hAnsiTheme="majorHAnsi" w:cstheme="majorHAnsi"/>
                <w:noProof/>
                <w:szCs w:val="24"/>
                <w:lang w:eastAsia="lv-LV"/>
              </w:rPr>
              <w:drawing>
                <wp:inline distT="0" distB="0" distL="0" distR="0" wp14:anchorId="6B3DEC29" wp14:editId="181B4A1C">
                  <wp:extent cx="3695700" cy="2381250"/>
                  <wp:effectExtent l="0" t="0" r="0" b="0"/>
                  <wp:docPr id="15"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0131B7FE" w14:textId="77777777" w:rsidR="005160AC" w:rsidRDefault="005160AC" w:rsidP="005160AC">
      <w:pPr>
        <w:tabs>
          <w:tab w:val="left" w:pos="5680"/>
        </w:tabs>
        <w:spacing w:after="0" w:line="240" w:lineRule="auto"/>
        <w:jc w:val="both"/>
        <w:rPr>
          <w:rFonts w:asciiTheme="majorHAnsi" w:hAnsiTheme="majorHAnsi" w:cstheme="majorHAnsi"/>
        </w:rPr>
      </w:pPr>
      <w:r>
        <w:rPr>
          <w:rFonts w:asciiTheme="majorHAnsi" w:hAnsiTheme="majorHAnsi" w:cstheme="majorHAnsi"/>
        </w:rPr>
        <w:tab/>
      </w:r>
    </w:p>
    <w:p w14:paraId="6B6C3BD3" w14:textId="77777777" w:rsidR="005160AC" w:rsidRDefault="005160AC" w:rsidP="005160AC">
      <w:pPr>
        <w:tabs>
          <w:tab w:val="left" w:pos="5680"/>
        </w:tabs>
        <w:spacing w:after="0" w:line="240" w:lineRule="auto"/>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5160AC" w:rsidRPr="0072491E" w14:paraId="5CAB7B80" w14:textId="77777777" w:rsidTr="005160AC">
        <w:tc>
          <w:tcPr>
            <w:tcW w:w="9781" w:type="dxa"/>
            <w:shd w:val="clear" w:color="auto" w:fill="D9D9D9" w:themeFill="background1" w:themeFillShade="D9"/>
          </w:tcPr>
          <w:p w14:paraId="32400278" w14:textId="69F6CF83" w:rsidR="005160AC" w:rsidRPr="0072491E" w:rsidRDefault="005160AC" w:rsidP="008610FC">
            <w:pPr>
              <w:jc w:val="right"/>
              <w:rPr>
                <w:rFonts w:asciiTheme="majorHAnsi" w:hAnsiTheme="majorHAnsi" w:cstheme="majorHAnsi"/>
                <w:b/>
                <w:bCs/>
              </w:rPr>
            </w:pPr>
            <w:r w:rsidRPr="0072491E">
              <w:rPr>
                <w:rFonts w:asciiTheme="majorHAnsi" w:hAnsiTheme="majorHAnsi" w:cstheme="majorHAnsi"/>
                <w:b/>
                <w:bCs/>
              </w:rPr>
              <w:lastRenderedPageBreak/>
              <w:t>Pievienotās vērtības izmaiņas nozarēs 2020.gadā, %</w:t>
            </w:r>
          </w:p>
        </w:tc>
      </w:tr>
      <w:tr w:rsidR="005160AC" w14:paraId="5B14171C" w14:textId="77777777" w:rsidTr="005160AC">
        <w:tc>
          <w:tcPr>
            <w:tcW w:w="9781" w:type="dxa"/>
          </w:tcPr>
          <w:p w14:paraId="39ADC966" w14:textId="77777777" w:rsidR="005160AC" w:rsidRDefault="005160AC" w:rsidP="008610FC">
            <w:pPr>
              <w:rPr>
                <w:rFonts w:asciiTheme="majorHAnsi" w:hAnsiTheme="majorHAnsi" w:cstheme="majorHAnsi"/>
              </w:rPr>
            </w:pPr>
            <w:r w:rsidRPr="00F264E6">
              <w:rPr>
                <w:rFonts w:asciiTheme="majorHAnsi" w:eastAsia="Times New Roman" w:hAnsiTheme="majorHAnsi" w:cstheme="majorHAnsi"/>
                <w:noProof/>
                <w:szCs w:val="24"/>
                <w:lang w:eastAsia="lv-LV"/>
              </w:rPr>
              <w:drawing>
                <wp:inline distT="0" distB="0" distL="0" distR="0" wp14:anchorId="455DA4D9" wp14:editId="656FDEA5">
                  <wp:extent cx="6153150" cy="1800225"/>
                  <wp:effectExtent l="0" t="0" r="0" b="0"/>
                  <wp:docPr id="2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CC76AD5" w14:textId="77777777" w:rsidR="005160AC" w:rsidRPr="00F264E6" w:rsidRDefault="005160AC" w:rsidP="005160AC">
      <w:pPr>
        <w:spacing w:line="240" w:lineRule="auto"/>
        <w:rPr>
          <w:rFonts w:asciiTheme="majorHAnsi" w:eastAsiaTheme="majorEastAsia" w:hAnsiTheme="majorHAnsi" w:cstheme="majorHAnsi"/>
          <w:color w:val="2F5496" w:themeColor="accent1" w:themeShade="BF"/>
          <w:sz w:val="26"/>
          <w:szCs w:val="26"/>
        </w:rPr>
      </w:pPr>
    </w:p>
    <w:p w14:paraId="795A492A" w14:textId="741773A6" w:rsidR="005160AC" w:rsidRDefault="005160AC" w:rsidP="005160AC">
      <w:pPr>
        <w:spacing w:after="0" w:line="240" w:lineRule="auto"/>
        <w:rPr>
          <w:rFonts w:asciiTheme="majorHAnsi" w:hAnsiTheme="majorHAnsi" w:cstheme="majorHAnsi"/>
          <w:b/>
          <w:color w:val="44546A" w:themeColor="text2"/>
          <w:sz w:val="26"/>
          <w:szCs w:val="26"/>
        </w:rPr>
      </w:pPr>
      <w:r w:rsidRPr="00D86574">
        <w:rPr>
          <w:rFonts w:asciiTheme="majorHAnsi" w:hAnsiTheme="majorHAnsi" w:cstheme="majorHAnsi"/>
          <w:b/>
          <w:color w:val="44546A" w:themeColor="text2"/>
          <w:sz w:val="26"/>
          <w:szCs w:val="26"/>
        </w:rPr>
        <w:t>IETEKME UZ DARBA TIRGU</w:t>
      </w:r>
    </w:p>
    <w:p w14:paraId="42BCAF3A" w14:textId="77777777" w:rsidR="005160AC" w:rsidRPr="00D86574" w:rsidRDefault="005160AC" w:rsidP="005160AC">
      <w:pPr>
        <w:spacing w:after="0" w:line="240" w:lineRule="auto"/>
        <w:rPr>
          <w:rFonts w:asciiTheme="majorHAnsi" w:hAnsiTheme="majorHAnsi" w:cstheme="majorHAnsi"/>
          <w:b/>
          <w:color w:val="44546A" w:themeColor="text2"/>
          <w:sz w:val="26"/>
          <w:szCs w:val="2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8987"/>
      </w:tblGrid>
      <w:tr w:rsidR="005160AC" w14:paraId="657C84F7" w14:textId="77777777" w:rsidTr="20794AED">
        <w:tc>
          <w:tcPr>
            <w:tcW w:w="936" w:type="dxa"/>
          </w:tcPr>
          <w:p w14:paraId="17B5BDA8" w14:textId="77777777" w:rsidR="005160AC" w:rsidRDefault="005160AC" w:rsidP="008610FC">
            <w:pPr>
              <w:spacing w:after="80"/>
              <w:jc w:val="both"/>
              <w:rPr>
                <w:rFonts w:asciiTheme="majorHAnsi" w:hAnsiTheme="majorHAnsi" w:cstheme="majorHAnsi"/>
                <w:color w:val="000000"/>
              </w:rPr>
            </w:pPr>
            <w:r>
              <w:rPr>
                <w:noProof/>
              </w:rPr>
              <w:drawing>
                <wp:inline distT="0" distB="0" distL="0" distR="0" wp14:anchorId="2CDBCEE3" wp14:editId="196BC201">
                  <wp:extent cx="451754" cy="396000"/>
                  <wp:effectExtent l="0" t="0" r="5715" b="4445"/>
                  <wp:docPr id="373314960" name="Picture 33" descr="Attēlu rezultāti vaicājumam “calender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8">
                            <a:extLst>
                              <a:ext uri="{28A0092B-C50C-407E-A947-70E740481C1C}">
                                <a14:useLocalDpi xmlns:a14="http://schemas.microsoft.com/office/drawing/2010/main" val="0"/>
                              </a:ext>
                            </a:extLst>
                          </a:blip>
                          <a:stretch>
                            <a:fillRect/>
                          </a:stretch>
                        </pic:blipFill>
                        <pic:spPr>
                          <a:xfrm>
                            <a:off x="0" y="0"/>
                            <a:ext cx="451754" cy="396000"/>
                          </a:xfrm>
                          <a:prstGeom prst="rect">
                            <a:avLst/>
                          </a:prstGeom>
                        </pic:spPr>
                      </pic:pic>
                    </a:graphicData>
                  </a:graphic>
                </wp:inline>
              </w:drawing>
            </w:r>
          </w:p>
        </w:tc>
        <w:tc>
          <w:tcPr>
            <w:tcW w:w="9127" w:type="dxa"/>
          </w:tcPr>
          <w:p w14:paraId="32399100" w14:textId="77777777" w:rsidR="005160AC" w:rsidRPr="00D86574" w:rsidRDefault="005160AC" w:rsidP="008610FC">
            <w:pPr>
              <w:spacing w:after="80"/>
              <w:jc w:val="both"/>
              <w:rPr>
                <w:rFonts w:asciiTheme="majorHAnsi" w:hAnsiTheme="majorHAnsi" w:cstheme="majorHAnsi"/>
                <w:color w:val="000000"/>
                <w:sz w:val="24"/>
                <w:szCs w:val="24"/>
              </w:rPr>
            </w:pPr>
            <w:r w:rsidRPr="00D86574">
              <w:rPr>
                <w:rFonts w:asciiTheme="majorHAnsi" w:hAnsiTheme="majorHAnsi" w:cstheme="majorHAnsi"/>
                <w:color w:val="000000" w:themeColor="text1"/>
                <w:sz w:val="24"/>
                <w:szCs w:val="24"/>
              </w:rPr>
              <w:t xml:space="preserve">Ietekme uz Latvijas darba tirgu lielā mērā atkarīga no tā, cik ilgi saglabāsies  Covid-19 izplatības ierobežošanas pasākumi. Jo ilgāk saglabāsies ierobežojumi, jo pastāv augstāks darbavietu zaudējumu un bezdarba pieauguma risks. Ietekme uz darba tirgu caurmērā ir lēnāka. Pašreiz lielā skaitā darbiniekus atlaiž tikai atsevišķi uzņēmumi, kas nesaredz iespēju atjaunot  savu darbību pilnā apjomā tuvāko 3-4 mēnešu laikā. </w:t>
            </w:r>
          </w:p>
        </w:tc>
      </w:tr>
    </w:tbl>
    <w:p w14:paraId="7505DB02" w14:textId="77777777" w:rsidR="005160AC" w:rsidRDefault="005160AC" w:rsidP="005160AC">
      <w:pPr>
        <w:spacing w:after="0" w:line="240" w:lineRule="auto"/>
        <w:ind w:right="-1"/>
        <w:rPr>
          <w:rFonts w:asciiTheme="majorHAnsi" w:hAnsiTheme="majorHAnsi" w:cstheme="majorHAnsi"/>
          <w:b/>
          <w:bCs/>
          <w:sz w:val="24"/>
          <w:szCs w:val="24"/>
        </w:rPr>
      </w:pPr>
    </w:p>
    <w:tbl>
      <w:tblPr>
        <w:tblStyle w:val="TableGrid"/>
        <w:tblW w:w="507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
        <w:gridCol w:w="760"/>
        <w:gridCol w:w="4133"/>
        <w:gridCol w:w="4884"/>
      </w:tblGrid>
      <w:tr w:rsidR="005160AC" w:rsidRPr="00E90FFD" w14:paraId="5DE9DD13" w14:textId="77777777" w:rsidTr="20794AED">
        <w:trPr>
          <w:gridBefore w:val="1"/>
          <w:wBefore w:w="71" w:type="pct"/>
        </w:trPr>
        <w:tc>
          <w:tcPr>
            <w:tcW w:w="2464" w:type="pct"/>
            <w:gridSpan w:val="2"/>
          </w:tcPr>
          <w:p w14:paraId="7CAFCF6A" w14:textId="77777777" w:rsidR="005160AC" w:rsidRPr="00E90FFD" w:rsidRDefault="005160AC" w:rsidP="008610FC">
            <w:pPr>
              <w:jc w:val="right"/>
              <w:rPr>
                <w:rFonts w:asciiTheme="majorHAnsi" w:hAnsiTheme="majorHAnsi" w:cstheme="majorHAnsi"/>
                <w:b/>
                <w:bCs/>
              </w:rPr>
            </w:pPr>
            <w:r w:rsidRPr="00E90FFD">
              <w:rPr>
                <w:rFonts w:asciiTheme="majorHAnsi" w:hAnsiTheme="majorHAnsi" w:cstheme="majorHAnsi"/>
                <w:b/>
                <w:bCs/>
              </w:rPr>
              <w:t>Nodarbināto skaits</w:t>
            </w:r>
            <w:r w:rsidRPr="00E90FFD">
              <w:rPr>
                <w:rFonts w:asciiTheme="majorHAnsi" w:hAnsiTheme="majorHAnsi" w:cstheme="majorHAnsi"/>
                <w:b/>
                <w:bCs/>
              </w:rPr>
              <w:br/>
              <w:t xml:space="preserve">tūkstošos, izmaiņas </w:t>
            </w:r>
            <w:r>
              <w:rPr>
                <w:rFonts w:asciiTheme="majorHAnsi" w:hAnsiTheme="majorHAnsi" w:cstheme="majorHAnsi"/>
                <w:b/>
                <w:bCs/>
              </w:rPr>
              <w:t xml:space="preserve">%, </w:t>
            </w:r>
            <w:r w:rsidRPr="00E90FFD">
              <w:rPr>
                <w:rFonts w:asciiTheme="majorHAnsi" w:hAnsiTheme="majorHAnsi" w:cstheme="majorHAnsi"/>
                <w:b/>
                <w:bCs/>
              </w:rPr>
              <w:t>salīdzinot ar 2019.gadu</w:t>
            </w:r>
          </w:p>
        </w:tc>
        <w:tc>
          <w:tcPr>
            <w:tcW w:w="2465" w:type="pct"/>
          </w:tcPr>
          <w:p w14:paraId="7FB500BA" w14:textId="77777777" w:rsidR="005160AC" w:rsidRPr="00E90FFD" w:rsidRDefault="005160AC" w:rsidP="008610FC">
            <w:pPr>
              <w:jc w:val="right"/>
              <w:rPr>
                <w:rFonts w:asciiTheme="majorHAnsi" w:hAnsiTheme="majorHAnsi" w:cstheme="majorHAnsi"/>
                <w:b/>
                <w:bCs/>
              </w:rPr>
            </w:pPr>
            <w:r w:rsidRPr="00E90FFD">
              <w:rPr>
                <w:rFonts w:asciiTheme="majorHAnsi" w:hAnsiTheme="majorHAnsi" w:cstheme="majorHAnsi"/>
                <w:b/>
                <w:bCs/>
              </w:rPr>
              <w:t>Bezdarba līmenis</w:t>
            </w:r>
            <w:r>
              <w:rPr>
                <w:rFonts w:asciiTheme="majorHAnsi" w:hAnsiTheme="majorHAnsi" w:cstheme="majorHAnsi"/>
                <w:b/>
                <w:bCs/>
              </w:rPr>
              <w:t>,</w:t>
            </w:r>
            <w:r w:rsidRPr="00E90FFD">
              <w:rPr>
                <w:rFonts w:asciiTheme="majorHAnsi" w:hAnsiTheme="majorHAnsi" w:cstheme="majorHAnsi"/>
                <w:b/>
                <w:bCs/>
              </w:rPr>
              <w:br/>
              <w:t>procentos</w:t>
            </w:r>
          </w:p>
        </w:tc>
      </w:tr>
      <w:tr w:rsidR="005160AC" w14:paraId="124E6D36" w14:textId="77777777" w:rsidTr="20794AED">
        <w:trPr>
          <w:gridBefore w:val="1"/>
          <w:wBefore w:w="71" w:type="pct"/>
        </w:trPr>
        <w:tc>
          <w:tcPr>
            <w:tcW w:w="2464" w:type="pct"/>
            <w:gridSpan w:val="2"/>
          </w:tcPr>
          <w:p w14:paraId="6FD30554" w14:textId="77777777" w:rsidR="005160AC" w:rsidRDefault="005160AC" w:rsidP="008610FC">
            <w:pPr>
              <w:rPr>
                <w:rFonts w:asciiTheme="majorHAnsi" w:hAnsiTheme="majorHAnsi" w:cstheme="majorHAnsi"/>
                <w:b/>
                <w:bCs/>
                <w:sz w:val="24"/>
                <w:szCs w:val="24"/>
              </w:rPr>
            </w:pPr>
            <w:r w:rsidRPr="00466416">
              <w:rPr>
                <w:rFonts w:asciiTheme="majorHAnsi" w:hAnsiTheme="majorHAnsi" w:cstheme="majorHAnsi"/>
                <w:b/>
                <w:bCs/>
                <w:noProof/>
                <w:sz w:val="24"/>
                <w:szCs w:val="24"/>
              </w:rPr>
              <w:drawing>
                <wp:inline distT="0" distB="0" distL="0" distR="0" wp14:anchorId="21A4072D" wp14:editId="2CB3FB1A">
                  <wp:extent cx="3095625" cy="1866900"/>
                  <wp:effectExtent l="0" t="0" r="0" b="0"/>
                  <wp:docPr id="17" name="Chart 17">
                    <a:extLst xmlns:a="http://schemas.openxmlformats.org/drawingml/2006/main">
                      <a:ext uri="{FF2B5EF4-FFF2-40B4-BE49-F238E27FC236}">
                        <a16:creationId xmlns:a16="http://schemas.microsoft.com/office/drawing/2014/main" id="{D6DAFB12-AB8D-4B9E-A270-5C8E1039A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2465" w:type="pct"/>
          </w:tcPr>
          <w:p w14:paraId="0D806925" w14:textId="77777777" w:rsidR="005160AC" w:rsidRDefault="005160AC" w:rsidP="008610FC">
            <w:pPr>
              <w:rPr>
                <w:rFonts w:asciiTheme="majorHAnsi" w:hAnsiTheme="majorHAnsi" w:cstheme="majorHAnsi"/>
                <w:b/>
                <w:bCs/>
                <w:sz w:val="24"/>
                <w:szCs w:val="24"/>
              </w:rPr>
            </w:pPr>
            <w:r w:rsidRPr="00466416">
              <w:rPr>
                <w:rFonts w:asciiTheme="majorHAnsi" w:hAnsiTheme="majorHAnsi" w:cstheme="majorHAnsi"/>
                <w:b/>
                <w:bCs/>
                <w:noProof/>
                <w:sz w:val="24"/>
                <w:szCs w:val="24"/>
              </w:rPr>
              <w:drawing>
                <wp:inline distT="0" distB="0" distL="0" distR="0" wp14:anchorId="0FB4DF4D" wp14:editId="28E7520F">
                  <wp:extent cx="3095625" cy="1866900"/>
                  <wp:effectExtent l="0" t="0" r="0" b="0"/>
                  <wp:docPr id="39" name="Chart 39">
                    <a:extLst xmlns:a="http://schemas.openxmlformats.org/drawingml/2006/main">
                      <a:ext uri="{FF2B5EF4-FFF2-40B4-BE49-F238E27FC236}">
                        <a16:creationId xmlns:a16="http://schemas.microsoft.com/office/drawing/2014/main" id="{1AA4A8CD-5653-4978-B827-A807ECB33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5160AC" w:rsidRPr="00466416" w14:paraId="1688B173" w14:textId="77777777" w:rsidTr="20794AED">
        <w:trPr>
          <w:gridBefore w:val="1"/>
          <w:wBefore w:w="71" w:type="pct"/>
          <w:cantSplit/>
          <w:trHeight w:val="1134"/>
        </w:trPr>
        <w:tc>
          <w:tcPr>
            <w:tcW w:w="2464" w:type="pct"/>
            <w:gridSpan w:val="2"/>
            <w:textDirection w:val="btLr"/>
            <w:vAlign w:val="bottom"/>
          </w:tcPr>
          <w:p w14:paraId="65C07001" w14:textId="77777777" w:rsidR="005160AC" w:rsidRPr="00F264E6" w:rsidRDefault="005160AC" w:rsidP="008610FC">
            <w:pPr>
              <w:spacing w:after="120"/>
              <w:ind w:right="227"/>
              <w:jc w:val="right"/>
              <w:rPr>
                <w:rFonts w:asciiTheme="majorHAnsi" w:hAnsiTheme="majorHAnsi" w:cstheme="majorHAnsi"/>
                <w:sz w:val="20"/>
                <w:szCs w:val="20"/>
              </w:rPr>
            </w:pPr>
            <w:r w:rsidRPr="00F264E6">
              <w:rPr>
                <w:rFonts w:asciiTheme="majorHAnsi" w:hAnsiTheme="majorHAnsi" w:cstheme="majorHAnsi"/>
                <w:sz w:val="20"/>
                <w:szCs w:val="20"/>
              </w:rPr>
              <w:t>Janvāra prognoze</w:t>
            </w:r>
          </w:p>
          <w:p w14:paraId="2295C9D4" w14:textId="77777777" w:rsidR="005160AC" w:rsidRPr="00F264E6" w:rsidRDefault="005160AC" w:rsidP="008610FC">
            <w:pPr>
              <w:ind w:right="227"/>
              <w:jc w:val="right"/>
              <w:rPr>
                <w:rFonts w:asciiTheme="majorHAnsi" w:hAnsiTheme="majorHAnsi" w:cstheme="majorHAnsi"/>
                <w:sz w:val="20"/>
                <w:szCs w:val="20"/>
              </w:rPr>
            </w:pPr>
            <w:r w:rsidRPr="00F264E6">
              <w:rPr>
                <w:rFonts w:asciiTheme="majorHAnsi" w:hAnsiTheme="majorHAnsi" w:cstheme="majorHAnsi"/>
                <w:sz w:val="20"/>
                <w:szCs w:val="20"/>
              </w:rPr>
              <w:t xml:space="preserve">-4% </w:t>
            </w:r>
          </w:p>
          <w:p w14:paraId="676CA055" w14:textId="77777777" w:rsidR="005160AC" w:rsidRPr="00F264E6" w:rsidRDefault="005160AC" w:rsidP="008610FC">
            <w:pPr>
              <w:spacing w:after="120"/>
              <w:ind w:right="227"/>
              <w:jc w:val="right"/>
              <w:rPr>
                <w:rFonts w:asciiTheme="majorHAnsi" w:hAnsiTheme="majorHAnsi" w:cstheme="majorHAnsi"/>
                <w:sz w:val="20"/>
                <w:szCs w:val="20"/>
              </w:rPr>
            </w:pPr>
            <w:r w:rsidRPr="00F264E6">
              <w:rPr>
                <w:rFonts w:asciiTheme="majorHAnsi" w:hAnsiTheme="majorHAnsi" w:cstheme="majorHAnsi"/>
                <w:sz w:val="20"/>
                <w:szCs w:val="20"/>
              </w:rPr>
              <w:t>IKP</w:t>
            </w:r>
          </w:p>
          <w:p w14:paraId="4D4FC04F" w14:textId="77777777" w:rsidR="005160AC" w:rsidRPr="00F264E6" w:rsidRDefault="005160AC" w:rsidP="008610FC">
            <w:pPr>
              <w:ind w:right="227"/>
              <w:jc w:val="right"/>
              <w:rPr>
                <w:rFonts w:asciiTheme="majorHAnsi" w:hAnsiTheme="majorHAnsi" w:cstheme="majorHAnsi"/>
                <w:sz w:val="20"/>
                <w:szCs w:val="20"/>
              </w:rPr>
            </w:pPr>
            <w:r w:rsidRPr="00F264E6">
              <w:rPr>
                <w:rFonts w:asciiTheme="majorHAnsi" w:hAnsiTheme="majorHAnsi" w:cstheme="majorHAnsi"/>
                <w:sz w:val="20"/>
                <w:szCs w:val="20"/>
              </w:rPr>
              <w:t xml:space="preserve">-8% </w:t>
            </w:r>
            <w:r w:rsidRPr="00F264E6">
              <w:rPr>
                <w:rFonts w:asciiTheme="majorHAnsi" w:hAnsiTheme="majorHAnsi" w:cstheme="majorHAnsi"/>
                <w:sz w:val="20"/>
                <w:szCs w:val="20"/>
              </w:rPr>
              <w:br/>
              <w:t>IKP</w:t>
            </w:r>
          </w:p>
        </w:tc>
        <w:tc>
          <w:tcPr>
            <w:tcW w:w="2465" w:type="pct"/>
            <w:textDirection w:val="btLr"/>
            <w:vAlign w:val="bottom"/>
          </w:tcPr>
          <w:p w14:paraId="079171F7" w14:textId="77777777" w:rsidR="005160AC" w:rsidRPr="00F264E6" w:rsidRDefault="005160AC" w:rsidP="008610FC">
            <w:pPr>
              <w:spacing w:after="120"/>
              <w:ind w:right="227"/>
              <w:jc w:val="right"/>
              <w:rPr>
                <w:rFonts w:asciiTheme="majorHAnsi" w:hAnsiTheme="majorHAnsi" w:cstheme="majorHAnsi"/>
                <w:sz w:val="20"/>
                <w:szCs w:val="20"/>
              </w:rPr>
            </w:pPr>
            <w:r w:rsidRPr="00F264E6">
              <w:rPr>
                <w:rFonts w:asciiTheme="majorHAnsi" w:hAnsiTheme="majorHAnsi" w:cstheme="majorHAnsi"/>
                <w:sz w:val="20"/>
                <w:szCs w:val="20"/>
              </w:rPr>
              <w:t>Janvāra prognoze</w:t>
            </w:r>
          </w:p>
          <w:p w14:paraId="71CDCD58" w14:textId="77777777" w:rsidR="005160AC" w:rsidRPr="00F264E6" w:rsidRDefault="005160AC" w:rsidP="008610FC">
            <w:pPr>
              <w:ind w:right="227"/>
              <w:jc w:val="right"/>
              <w:rPr>
                <w:rFonts w:asciiTheme="majorHAnsi" w:hAnsiTheme="majorHAnsi" w:cstheme="majorHAnsi"/>
                <w:sz w:val="20"/>
                <w:szCs w:val="20"/>
              </w:rPr>
            </w:pPr>
            <w:r w:rsidRPr="00F264E6">
              <w:rPr>
                <w:rFonts w:asciiTheme="majorHAnsi" w:hAnsiTheme="majorHAnsi" w:cstheme="majorHAnsi"/>
                <w:sz w:val="20"/>
                <w:szCs w:val="20"/>
              </w:rPr>
              <w:t xml:space="preserve">-4% </w:t>
            </w:r>
          </w:p>
          <w:p w14:paraId="7F4BA725" w14:textId="77777777" w:rsidR="005160AC" w:rsidRPr="00F264E6" w:rsidRDefault="005160AC" w:rsidP="008610FC">
            <w:pPr>
              <w:spacing w:after="120"/>
              <w:ind w:right="227"/>
              <w:jc w:val="right"/>
              <w:rPr>
                <w:rFonts w:asciiTheme="majorHAnsi" w:hAnsiTheme="majorHAnsi" w:cstheme="majorHAnsi"/>
                <w:sz w:val="20"/>
                <w:szCs w:val="20"/>
              </w:rPr>
            </w:pPr>
            <w:r w:rsidRPr="00F264E6">
              <w:rPr>
                <w:rFonts w:asciiTheme="majorHAnsi" w:hAnsiTheme="majorHAnsi" w:cstheme="majorHAnsi"/>
                <w:sz w:val="20"/>
                <w:szCs w:val="20"/>
              </w:rPr>
              <w:t>IKP</w:t>
            </w:r>
          </w:p>
          <w:p w14:paraId="14583227" w14:textId="77777777" w:rsidR="005160AC" w:rsidRPr="00F264E6" w:rsidRDefault="005160AC" w:rsidP="008610FC">
            <w:pPr>
              <w:spacing w:after="60"/>
              <w:ind w:left="113" w:right="227"/>
              <w:jc w:val="right"/>
              <w:rPr>
                <w:rFonts w:asciiTheme="majorHAnsi" w:hAnsiTheme="majorHAnsi" w:cstheme="majorHAnsi"/>
                <w:sz w:val="20"/>
                <w:szCs w:val="20"/>
              </w:rPr>
            </w:pPr>
            <w:r w:rsidRPr="00F264E6">
              <w:rPr>
                <w:rFonts w:asciiTheme="majorHAnsi" w:hAnsiTheme="majorHAnsi" w:cstheme="majorHAnsi"/>
                <w:sz w:val="20"/>
                <w:szCs w:val="20"/>
              </w:rPr>
              <w:t xml:space="preserve">-8% </w:t>
            </w:r>
            <w:r w:rsidRPr="00F264E6">
              <w:rPr>
                <w:rFonts w:asciiTheme="majorHAnsi" w:hAnsiTheme="majorHAnsi" w:cstheme="majorHAnsi"/>
                <w:sz w:val="20"/>
                <w:szCs w:val="20"/>
              </w:rPr>
              <w:br/>
              <w:t>IKP</w:t>
            </w:r>
          </w:p>
        </w:tc>
      </w:tr>
      <w:tr w:rsidR="005160AC" w14:paraId="12F6E0BF" w14:textId="77777777" w:rsidTr="20794AED">
        <w:tc>
          <w:tcPr>
            <w:tcW w:w="450" w:type="pct"/>
            <w:gridSpan w:val="2"/>
          </w:tcPr>
          <w:p w14:paraId="150C53DC" w14:textId="77777777" w:rsidR="005160AC" w:rsidRDefault="005160AC" w:rsidP="008610FC">
            <w:pPr>
              <w:spacing w:after="80"/>
              <w:jc w:val="both"/>
              <w:rPr>
                <w:rFonts w:asciiTheme="majorHAnsi" w:hAnsiTheme="majorHAnsi" w:cstheme="majorHAnsi"/>
                <w:color w:val="000000"/>
              </w:rPr>
            </w:pPr>
            <w:r>
              <w:rPr>
                <w:noProof/>
              </w:rPr>
              <w:drawing>
                <wp:inline distT="0" distB="0" distL="0" distR="0" wp14:anchorId="4D43CF0F" wp14:editId="2FCD0697">
                  <wp:extent cx="438570" cy="432000"/>
                  <wp:effectExtent l="0" t="0" r="0" b="6350"/>
                  <wp:docPr id="1306881098" name="Picture 30" descr="Attēlu rezultāti vaicājumam “employment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1">
                            <a:extLst>
                              <a:ext uri="{28A0092B-C50C-407E-A947-70E740481C1C}">
                                <a14:useLocalDpi xmlns:a14="http://schemas.microsoft.com/office/drawing/2010/main" val="0"/>
                              </a:ext>
                            </a:extLst>
                          </a:blip>
                          <a:stretch>
                            <a:fillRect/>
                          </a:stretch>
                        </pic:blipFill>
                        <pic:spPr>
                          <a:xfrm>
                            <a:off x="0" y="0"/>
                            <a:ext cx="438570" cy="432000"/>
                          </a:xfrm>
                          <a:prstGeom prst="rect">
                            <a:avLst/>
                          </a:prstGeom>
                        </pic:spPr>
                      </pic:pic>
                    </a:graphicData>
                  </a:graphic>
                </wp:inline>
              </w:drawing>
            </w:r>
          </w:p>
        </w:tc>
        <w:tc>
          <w:tcPr>
            <w:tcW w:w="4550" w:type="pct"/>
            <w:gridSpan w:val="2"/>
          </w:tcPr>
          <w:p w14:paraId="14F9D28D" w14:textId="77777777" w:rsidR="005160AC" w:rsidRPr="00F264E6" w:rsidRDefault="005160AC" w:rsidP="008610FC">
            <w:pPr>
              <w:spacing w:after="80"/>
              <w:jc w:val="both"/>
              <w:rPr>
                <w:rFonts w:asciiTheme="majorHAnsi" w:hAnsiTheme="majorHAnsi" w:cstheme="majorHAnsi"/>
                <w:color w:val="000000"/>
                <w:sz w:val="24"/>
                <w:szCs w:val="24"/>
              </w:rPr>
            </w:pPr>
            <w:r w:rsidRPr="00F264E6">
              <w:rPr>
                <w:rFonts w:asciiTheme="majorHAnsi" w:hAnsiTheme="majorHAnsi" w:cstheme="majorHAnsi"/>
                <w:sz w:val="24"/>
                <w:szCs w:val="24"/>
              </w:rPr>
              <w:t xml:space="preserve">Nodarbināto skaits 2020.gadā -4% IKP scenārijā varētu samazināties par 4-5% (40 – 44 tūkst. nodarbināto), salīdzinot ar 2019.gadu. Savukārt </w:t>
            </w:r>
            <w:r w:rsidRPr="00F264E6">
              <w:rPr>
                <w:rFonts w:asciiTheme="majorHAnsi" w:hAnsiTheme="majorHAnsi" w:cstheme="majorHAnsi"/>
                <w:b/>
                <w:sz w:val="24"/>
                <w:szCs w:val="24"/>
              </w:rPr>
              <w:t>-</w:t>
            </w:r>
            <w:r>
              <w:rPr>
                <w:rFonts w:asciiTheme="majorHAnsi" w:hAnsiTheme="majorHAnsi" w:cstheme="majorHAnsi"/>
                <w:b/>
                <w:sz w:val="24"/>
                <w:szCs w:val="24"/>
              </w:rPr>
              <w:t xml:space="preserve"> </w:t>
            </w:r>
            <w:r w:rsidRPr="00F264E6">
              <w:rPr>
                <w:rFonts w:asciiTheme="majorHAnsi" w:hAnsiTheme="majorHAnsi" w:cstheme="majorHAnsi"/>
                <w:b/>
                <w:sz w:val="24"/>
                <w:szCs w:val="24"/>
              </w:rPr>
              <w:t>8% IKP samazinājuma scenārijā nodarbināto skaita samazinājums 2020. gadā var sasniegt 7,5% jeb 68 tūkst</w:t>
            </w:r>
            <w:r w:rsidRPr="00F264E6">
              <w:rPr>
                <w:rFonts w:asciiTheme="majorHAnsi" w:hAnsiTheme="majorHAnsi" w:cstheme="majorHAnsi"/>
                <w:sz w:val="24"/>
                <w:szCs w:val="24"/>
              </w:rPr>
              <w:t>. I</w:t>
            </w:r>
            <w:r w:rsidRPr="00F264E6">
              <w:rPr>
                <w:rFonts w:asciiTheme="majorHAnsi" w:hAnsiTheme="majorHAnsi" w:cstheme="majorHAnsi"/>
                <w:color w:val="000000"/>
                <w:sz w:val="24"/>
                <w:szCs w:val="24"/>
              </w:rPr>
              <w:t>etekme būs vērojama gandrīz visās tautsaimniecības nozarēs, paredzama iedzīvotāju ekonomiskās aktivitātes samazināšanās (pamatā starp jauniešiem un iedzīvotājiem pensijas/pirms pensijas vecumā).</w:t>
            </w:r>
          </w:p>
          <w:p w14:paraId="4F0F2478" w14:textId="77777777" w:rsidR="005160AC" w:rsidRPr="005A26DE" w:rsidRDefault="005160AC" w:rsidP="008610FC">
            <w:pPr>
              <w:spacing w:after="80"/>
              <w:jc w:val="both"/>
              <w:rPr>
                <w:rFonts w:asciiTheme="majorHAnsi" w:hAnsiTheme="majorHAnsi" w:cstheme="majorHAnsi"/>
                <w:color w:val="000000"/>
              </w:rPr>
            </w:pPr>
          </w:p>
        </w:tc>
      </w:tr>
      <w:tr w:rsidR="005160AC" w14:paraId="37472B40" w14:textId="77777777" w:rsidTr="20794AED">
        <w:tc>
          <w:tcPr>
            <w:tcW w:w="450" w:type="pct"/>
            <w:gridSpan w:val="2"/>
          </w:tcPr>
          <w:p w14:paraId="2418A800" w14:textId="77777777" w:rsidR="005160AC" w:rsidRDefault="005160AC" w:rsidP="008610FC">
            <w:pPr>
              <w:spacing w:after="80"/>
              <w:jc w:val="both"/>
              <w:rPr>
                <w:rFonts w:asciiTheme="majorHAnsi" w:hAnsiTheme="majorHAnsi" w:cstheme="majorHAnsi"/>
                <w:color w:val="000000"/>
              </w:rPr>
            </w:pPr>
            <w:r>
              <w:rPr>
                <w:noProof/>
              </w:rPr>
              <w:drawing>
                <wp:inline distT="0" distB="0" distL="0" distR="0" wp14:anchorId="56E1F57F" wp14:editId="737A8977">
                  <wp:extent cx="432000" cy="432000"/>
                  <wp:effectExtent l="0" t="0" r="6350" b="6350"/>
                  <wp:docPr id="1210514991" name="Picture 29" descr="Attēlu rezultāti vaicājumam “employment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22">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4550" w:type="pct"/>
            <w:gridSpan w:val="2"/>
          </w:tcPr>
          <w:p w14:paraId="60F1CCB5" w14:textId="77777777" w:rsidR="005160AC" w:rsidRPr="00F264E6" w:rsidRDefault="005160AC" w:rsidP="008610FC">
            <w:pPr>
              <w:spacing w:after="80"/>
              <w:jc w:val="both"/>
              <w:rPr>
                <w:rFonts w:asciiTheme="majorHAnsi" w:hAnsiTheme="majorHAnsi" w:cstheme="majorHAnsi"/>
                <w:color w:val="000000"/>
              </w:rPr>
            </w:pPr>
            <w:r w:rsidRPr="00F264E6">
              <w:rPr>
                <w:rFonts w:asciiTheme="majorHAnsi" w:hAnsiTheme="majorHAnsi" w:cstheme="majorHAnsi"/>
                <w:sz w:val="24"/>
                <w:szCs w:val="24"/>
              </w:rPr>
              <w:t>Bezdarba līmenis 2020. gadā -</w:t>
            </w:r>
            <w:r>
              <w:rPr>
                <w:rFonts w:asciiTheme="majorHAnsi" w:hAnsiTheme="majorHAnsi" w:cstheme="majorHAnsi"/>
                <w:sz w:val="24"/>
                <w:szCs w:val="24"/>
              </w:rPr>
              <w:t xml:space="preserve"> </w:t>
            </w:r>
            <w:r w:rsidRPr="00F264E6">
              <w:rPr>
                <w:rFonts w:asciiTheme="majorHAnsi" w:hAnsiTheme="majorHAnsi" w:cstheme="majorHAnsi"/>
                <w:sz w:val="24"/>
                <w:szCs w:val="24"/>
              </w:rPr>
              <w:t>4% IKP scenārija gadījumā vidēji  varētu palielināties par 4</w:t>
            </w:r>
            <w:r>
              <w:rPr>
                <w:rFonts w:asciiTheme="majorHAnsi" w:hAnsiTheme="majorHAnsi" w:cstheme="majorHAnsi"/>
                <w:sz w:val="24"/>
                <w:szCs w:val="24"/>
              </w:rPr>
              <w:t xml:space="preserve"> </w:t>
            </w:r>
            <w:r w:rsidRPr="00F264E6">
              <w:rPr>
                <w:rFonts w:asciiTheme="majorHAnsi" w:hAnsiTheme="majorHAnsi" w:cstheme="majorHAnsi"/>
                <w:sz w:val="24"/>
                <w:szCs w:val="24"/>
              </w:rPr>
              <w:t xml:space="preserve">-5 procentpunktiem, sasniedzot 10-10,3% līmeni, ar tendenci gada ietvaros pieaugt. Realizējoties </w:t>
            </w:r>
            <w:r w:rsidRPr="00F264E6">
              <w:rPr>
                <w:rFonts w:asciiTheme="majorHAnsi" w:hAnsiTheme="majorHAnsi" w:cstheme="majorHAnsi"/>
                <w:b/>
                <w:sz w:val="24"/>
                <w:szCs w:val="24"/>
              </w:rPr>
              <w:t>-8% IKP samazinājuma prognozei, bezdarba līmenis potenciāli var pieaugt līdz 12% (113 tūkst. darba meklētāju).</w:t>
            </w:r>
            <w:r w:rsidRPr="00F264E6">
              <w:rPr>
                <w:rFonts w:asciiTheme="majorHAnsi" w:hAnsiTheme="majorHAnsi" w:cstheme="majorHAnsi"/>
                <w:sz w:val="24"/>
                <w:szCs w:val="24"/>
              </w:rPr>
              <w:t xml:space="preserve"> </w:t>
            </w:r>
          </w:p>
        </w:tc>
      </w:tr>
    </w:tbl>
    <w:p w14:paraId="4052F484" w14:textId="77777777" w:rsidR="005160AC" w:rsidRDefault="005160AC" w:rsidP="005160AC">
      <w:pPr>
        <w:spacing w:after="0" w:line="240" w:lineRule="auto"/>
        <w:rPr>
          <w:rFonts w:asciiTheme="majorHAnsi" w:hAnsiTheme="majorHAnsi" w:cstheme="majorHAnsi"/>
          <w:b/>
          <w:color w:val="44546A" w:themeColor="text2"/>
          <w:sz w:val="26"/>
          <w:szCs w:val="26"/>
        </w:rPr>
      </w:pPr>
    </w:p>
    <w:p w14:paraId="497B439E" w14:textId="77777777" w:rsidR="005160AC" w:rsidRPr="008857EA" w:rsidRDefault="005160AC" w:rsidP="005160AC">
      <w:pPr>
        <w:spacing w:after="0" w:line="240" w:lineRule="auto"/>
        <w:rPr>
          <w:rFonts w:asciiTheme="majorHAnsi" w:hAnsiTheme="majorHAnsi" w:cstheme="majorHAnsi"/>
          <w:b/>
          <w:color w:val="44546A" w:themeColor="text2"/>
          <w:sz w:val="26"/>
          <w:szCs w:val="26"/>
        </w:rPr>
      </w:pPr>
      <w:r w:rsidRPr="008857EA">
        <w:rPr>
          <w:rFonts w:asciiTheme="majorHAnsi" w:hAnsiTheme="majorHAnsi" w:cstheme="majorHAnsi"/>
          <w:b/>
          <w:color w:val="44546A" w:themeColor="text2"/>
          <w:sz w:val="26"/>
          <w:szCs w:val="26"/>
        </w:rPr>
        <w:lastRenderedPageBreak/>
        <w:t>IZIEŠANA NO KRĪZES – U VEIDA SCENĀRIJS</w:t>
      </w:r>
    </w:p>
    <w:p w14:paraId="18DDF22C" w14:textId="77777777" w:rsidR="005160AC" w:rsidRPr="00F264E6" w:rsidRDefault="005160AC" w:rsidP="005160AC">
      <w:pPr>
        <w:spacing w:line="240" w:lineRule="auto"/>
        <w:rPr>
          <w:rFonts w:asciiTheme="majorHAnsi" w:eastAsia="Times New Roman" w:hAnsiTheme="majorHAnsi" w:cstheme="majorHAnsi"/>
          <w:b/>
          <w:kern w:val="36"/>
          <w:sz w:val="4"/>
          <w:szCs w:val="4"/>
        </w:rPr>
      </w:pPr>
    </w:p>
    <w:tbl>
      <w:tblPr>
        <w:tblStyle w:val="TableGrid"/>
        <w:tblW w:w="0" w:type="auto"/>
        <w:shd w:val="clear" w:color="auto" w:fill="D9D9D9" w:themeFill="background1" w:themeFillShade="D9"/>
        <w:tblLook w:val="04A0" w:firstRow="1" w:lastRow="0" w:firstColumn="1" w:lastColumn="0" w:noHBand="0" w:noVBand="1"/>
      </w:tblPr>
      <w:tblGrid>
        <w:gridCol w:w="9771"/>
      </w:tblGrid>
      <w:tr w:rsidR="005160AC" w:rsidRPr="00C30F0B" w14:paraId="16AF0498" w14:textId="77777777" w:rsidTr="20794AED">
        <w:tc>
          <w:tcPr>
            <w:tcW w:w="9913" w:type="dxa"/>
            <w:shd w:val="clear" w:color="auto" w:fill="D9D9D9" w:themeFill="background1" w:themeFillShade="D9"/>
          </w:tcPr>
          <w:p w14:paraId="15A0396F" w14:textId="77777777" w:rsidR="005160AC" w:rsidRPr="00F264E6" w:rsidRDefault="005160AC" w:rsidP="008610FC">
            <w:pPr>
              <w:spacing w:after="80"/>
              <w:jc w:val="both"/>
              <w:rPr>
                <w:rFonts w:asciiTheme="majorHAnsi" w:hAnsiTheme="majorHAnsi" w:cstheme="majorHAnsi"/>
                <w:b/>
                <w:sz w:val="20"/>
                <w:szCs w:val="20"/>
              </w:rPr>
            </w:pPr>
            <w:r w:rsidRPr="00F264E6">
              <w:rPr>
                <w:rFonts w:asciiTheme="majorHAnsi" w:hAnsiTheme="majorHAnsi" w:cstheme="majorHAnsi"/>
                <w:b/>
                <w:sz w:val="20"/>
                <w:szCs w:val="20"/>
              </w:rPr>
              <w:t>COVID-19 RADĪTO EKONOMIKAS ŠOKU TEORĒTISKAIS IETVARS</w:t>
            </w:r>
          </w:p>
          <w:p w14:paraId="3EC81AAF" w14:textId="77777777" w:rsidR="005160AC" w:rsidRPr="00F264E6" w:rsidRDefault="005160AC" w:rsidP="008610FC">
            <w:pPr>
              <w:spacing w:after="60"/>
              <w:jc w:val="both"/>
              <w:rPr>
                <w:rFonts w:asciiTheme="majorHAnsi" w:hAnsiTheme="majorHAnsi" w:cstheme="majorHAnsi"/>
                <w:sz w:val="20"/>
                <w:szCs w:val="20"/>
              </w:rPr>
            </w:pPr>
            <w:r w:rsidRPr="00F264E6">
              <w:rPr>
                <w:rFonts w:asciiTheme="majorHAnsi" w:hAnsiTheme="majorHAnsi" w:cstheme="majorHAnsi"/>
                <w:noProof/>
                <w:sz w:val="20"/>
                <w:szCs w:val="20"/>
              </w:rPr>
              <w:drawing>
                <wp:anchor distT="0" distB="0" distL="114300" distR="114300" simplePos="0" relativeHeight="251661312" behindDoc="0" locked="0" layoutInCell="1" allowOverlap="1" wp14:anchorId="05D07E7D" wp14:editId="2A9127C6">
                  <wp:simplePos x="0" y="0"/>
                  <wp:positionH relativeFrom="column">
                    <wp:posOffset>-1270</wp:posOffset>
                  </wp:positionH>
                  <wp:positionV relativeFrom="paragraph">
                    <wp:posOffset>0</wp:posOffset>
                  </wp:positionV>
                  <wp:extent cx="492654" cy="533400"/>
                  <wp:effectExtent l="0" t="0" r="3175" b="0"/>
                  <wp:wrapSquare wrapText="bothSides"/>
                  <wp:docPr id="85" name="Picture 85" descr="Attēlu rezultāti vaicājumam “economy theory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ēlu rezultāti vaicājumam “economy theory icon 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5666" t="3724" r="72167" b="70745"/>
                          <a:stretch/>
                        </pic:blipFill>
                        <pic:spPr bwMode="auto">
                          <a:xfrm>
                            <a:off x="0" y="0"/>
                            <a:ext cx="492654"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20794AED">
              <w:rPr>
                <w:rFonts w:asciiTheme="majorHAnsi" w:hAnsiTheme="majorHAnsi" w:cstheme="majorBidi"/>
                <w:sz w:val="20"/>
                <w:szCs w:val="20"/>
              </w:rPr>
              <w:t>Covid-19 izplatības rezultātā Eiropā Latvijas ekonomika saskaras ar strauju pieprasījuma kritumu, t.i. pieprasījuma šoku. Šāda strauja krituma sekas ierasti ir recesija, ko raksturo straujš ražošanas (pakalpojumu) kritums un bezdarba pieaugums tiešās ietekmes nozarēs. Turklāt bezdarba līmeņa pieaugums samazina mājsaimniecību ienākumus, iedzīvotāji izvēlas taupīgi rīkoties ar uzkrājumiem, tādējādi vēl vairāk ierobežojot kopējo pieprasījumu. Turpmāko notikumu nenoteiktības rezultātā investori izvēlas konservatīvāku investīciju pārvaldes taktiku, atliekot riskantu investīciju plānu  īstenošanu, tādējādi samazinot pieprasījumu investīciju preču ražotājiem un mazinot naudas ieplūdi ekonomikā starptautisko tiešo investīciju formā.</w:t>
            </w:r>
          </w:p>
          <w:p w14:paraId="1DB490BB" w14:textId="77777777" w:rsidR="005160AC" w:rsidRPr="00F264E6" w:rsidRDefault="005160AC" w:rsidP="008610FC">
            <w:pPr>
              <w:spacing w:after="60"/>
              <w:jc w:val="both"/>
              <w:rPr>
                <w:rFonts w:asciiTheme="majorHAnsi" w:hAnsiTheme="majorHAnsi" w:cstheme="majorHAnsi"/>
                <w:sz w:val="20"/>
                <w:szCs w:val="20"/>
              </w:rPr>
            </w:pPr>
            <w:r w:rsidRPr="00F264E6">
              <w:rPr>
                <w:rFonts w:asciiTheme="majorHAnsi" w:hAnsiTheme="majorHAnsi" w:cstheme="majorHAnsi"/>
                <w:sz w:val="20"/>
                <w:szCs w:val="20"/>
              </w:rPr>
              <w:t xml:space="preserve">Pašreizējās tendences liecina, ka Covid-19 un tā izplatības ierobežošanas pasākumi ir ietekmējuši ne tikai pieprasījuma samazināšanos, bet arī izraisa piedāvājuma šoku. Negatīvu ietekme uz piedāvājumu rada arvien lielāki traucējumi piegāžu ķēdēs, kā arī darbaspēka ierobežota pieejamība slimības vai karantīna dēļ un citi faktori. Piedāvājumam atgriežoties </w:t>
            </w:r>
            <w:proofErr w:type="spellStart"/>
            <w:r w:rsidRPr="00F264E6">
              <w:rPr>
                <w:rFonts w:asciiTheme="majorHAnsi" w:hAnsiTheme="majorHAnsi" w:cstheme="majorHAnsi"/>
                <w:sz w:val="20"/>
                <w:szCs w:val="20"/>
              </w:rPr>
              <w:t>pirmskrīzes</w:t>
            </w:r>
            <w:proofErr w:type="spellEnd"/>
            <w:r w:rsidRPr="00F264E6">
              <w:rPr>
                <w:rFonts w:asciiTheme="majorHAnsi" w:hAnsiTheme="majorHAnsi" w:cstheme="majorHAnsi"/>
                <w:sz w:val="20"/>
                <w:szCs w:val="20"/>
              </w:rPr>
              <w:t xml:space="preserve"> līmenī ir paredzamas ievērojamas rindas un sekojošas </w:t>
            </w:r>
            <w:proofErr w:type="spellStart"/>
            <w:r w:rsidRPr="00F264E6">
              <w:rPr>
                <w:rFonts w:asciiTheme="majorHAnsi" w:hAnsiTheme="majorHAnsi" w:cstheme="majorHAnsi"/>
                <w:sz w:val="20"/>
                <w:szCs w:val="20"/>
              </w:rPr>
              <w:t>piegažu</w:t>
            </w:r>
            <w:proofErr w:type="spellEnd"/>
            <w:r w:rsidRPr="00F264E6">
              <w:rPr>
                <w:rFonts w:asciiTheme="majorHAnsi" w:hAnsiTheme="majorHAnsi" w:cstheme="majorHAnsi"/>
                <w:sz w:val="20"/>
                <w:szCs w:val="20"/>
              </w:rPr>
              <w:t xml:space="preserve"> kavēšanās.</w:t>
            </w:r>
          </w:p>
          <w:p w14:paraId="332111A7" w14:textId="77777777" w:rsidR="005160AC" w:rsidRPr="00C30F0B" w:rsidRDefault="005160AC" w:rsidP="008610FC">
            <w:pPr>
              <w:spacing w:after="60"/>
              <w:jc w:val="both"/>
              <w:rPr>
                <w:rFonts w:asciiTheme="majorHAnsi" w:hAnsiTheme="majorHAnsi" w:cstheme="majorHAnsi"/>
                <w:sz w:val="20"/>
                <w:szCs w:val="20"/>
              </w:rPr>
            </w:pPr>
            <w:r w:rsidRPr="00C30F0B">
              <w:rPr>
                <w:rFonts w:asciiTheme="majorHAnsi" w:hAnsiTheme="majorHAnsi" w:cstheme="majorHAnsi"/>
                <w:sz w:val="20"/>
                <w:szCs w:val="20"/>
              </w:rPr>
              <w:t>Līdz ar to Covid-19 ietekmi uz ekonomiku var raksturot kā dubulto šoku (piedāvājuma un pieprasījuma), kuru ļoti īsā laikā ir grūti pārvarēt. Dubultā šoka izraisītā ekonomikas lejupslīde var radīt nopietnas sekas, vēl jo vairāk, ņemot to, ka piedāvājuma šoku ir grūti pārvaldīt, piemērojot vispārpieņemtos monetāros un fiskālos stimulus. Tāpēc dubultā šoka sekas var būt ilgstošākas ar būtiskām strukturālām korekcijām.</w:t>
            </w:r>
          </w:p>
        </w:tc>
      </w:tr>
    </w:tbl>
    <w:p w14:paraId="534FF54A" w14:textId="77777777" w:rsidR="005160AC" w:rsidRPr="00F264E6" w:rsidRDefault="005160AC" w:rsidP="005160AC">
      <w:pPr>
        <w:spacing w:line="240" w:lineRule="auto"/>
        <w:rPr>
          <w:rFonts w:asciiTheme="majorHAnsi" w:eastAsia="Times New Roman" w:hAnsiTheme="majorHAnsi" w:cstheme="majorHAnsi"/>
          <w:b/>
          <w:kern w:val="36"/>
          <w:sz w:val="12"/>
          <w:szCs w:val="12"/>
        </w:rPr>
      </w:pPr>
    </w:p>
    <w:p w14:paraId="3D81E8F5" w14:textId="77777777" w:rsidR="005160AC" w:rsidRPr="00F264E6" w:rsidRDefault="005160AC" w:rsidP="005160AC">
      <w:pPr>
        <w:spacing w:after="0" w:line="240" w:lineRule="auto"/>
        <w:jc w:val="both"/>
        <w:rPr>
          <w:rFonts w:asciiTheme="majorHAnsi" w:hAnsiTheme="majorHAnsi" w:cstheme="majorHAnsi"/>
          <w:kern w:val="36"/>
          <w:sz w:val="24"/>
          <w:szCs w:val="24"/>
        </w:rPr>
      </w:pPr>
      <w:r w:rsidRPr="00F264E6">
        <w:rPr>
          <w:rFonts w:asciiTheme="majorHAnsi" w:eastAsia="Times New Roman" w:hAnsiTheme="majorHAnsi" w:cstheme="majorHAnsi"/>
          <w:kern w:val="36"/>
          <w:sz w:val="24"/>
          <w:szCs w:val="24"/>
        </w:rPr>
        <w:t>Neatkarīgi no tā, vai ekonomikas var izvairīties no lejupslīdes</w:t>
      </w:r>
      <w:r>
        <w:rPr>
          <w:rFonts w:asciiTheme="majorHAnsi" w:eastAsia="Times New Roman" w:hAnsiTheme="majorHAnsi" w:cstheme="majorHAnsi"/>
          <w:kern w:val="36"/>
          <w:sz w:val="24"/>
          <w:szCs w:val="24"/>
        </w:rPr>
        <w:t>,</w:t>
      </w:r>
      <w:r w:rsidRPr="00F264E6">
        <w:rPr>
          <w:rFonts w:asciiTheme="majorHAnsi" w:eastAsia="Times New Roman" w:hAnsiTheme="majorHAnsi" w:cstheme="majorHAnsi"/>
          <w:kern w:val="36"/>
          <w:sz w:val="24"/>
          <w:szCs w:val="24"/>
        </w:rPr>
        <w:t xml:space="preserve"> izaugsmes atjaunošana ir atkarīga no dažādiem apstākļiem:</w:t>
      </w:r>
    </w:p>
    <w:p w14:paraId="3BD2C703" w14:textId="76AAF29A" w:rsidR="005160AC" w:rsidRPr="00F264E6" w:rsidRDefault="005160AC" w:rsidP="20794AED">
      <w:pPr>
        <w:numPr>
          <w:ilvl w:val="1"/>
          <w:numId w:val="1"/>
        </w:numPr>
        <w:tabs>
          <w:tab w:val="clear" w:pos="1440"/>
        </w:tabs>
        <w:spacing w:after="0" w:line="240" w:lineRule="auto"/>
        <w:ind w:left="567" w:hanging="283"/>
        <w:jc w:val="both"/>
        <w:rPr>
          <w:rFonts w:asciiTheme="majorHAnsi" w:eastAsia="Times New Roman" w:hAnsiTheme="majorHAnsi" w:cstheme="majorBidi"/>
          <w:kern w:val="36"/>
          <w:sz w:val="24"/>
          <w:szCs w:val="24"/>
          <w:lang w:eastAsia="lv-LV"/>
        </w:rPr>
      </w:pPr>
      <w:r w:rsidRPr="20794AED">
        <w:rPr>
          <w:rFonts w:asciiTheme="majorHAnsi" w:eastAsia="Times New Roman" w:hAnsiTheme="majorHAnsi" w:cstheme="majorBidi"/>
          <w:kern w:val="36"/>
          <w:sz w:val="24"/>
          <w:szCs w:val="24"/>
          <w:lang w:eastAsia="lv-LV"/>
        </w:rPr>
        <w:t>cik lielā mērā pieprasījuma atjaunošanās kavēsies</w:t>
      </w:r>
      <w:r w:rsidR="6C14E99C" w:rsidRPr="20794AED">
        <w:rPr>
          <w:rFonts w:asciiTheme="majorHAnsi" w:eastAsia="Times New Roman" w:hAnsiTheme="majorHAnsi" w:cstheme="majorBidi"/>
          <w:kern w:val="36"/>
          <w:sz w:val="24"/>
          <w:szCs w:val="24"/>
          <w:lang w:eastAsia="lv-LV"/>
        </w:rPr>
        <w:t>,</w:t>
      </w:r>
      <w:r w:rsidRPr="20794AED">
        <w:rPr>
          <w:rFonts w:asciiTheme="majorHAnsi" w:eastAsia="Times New Roman" w:hAnsiTheme="majorHAnsi" w:cstheme="majorBidi"/>
          <w:kern w:val="36"/>
          <w:sz w:val="24"/>
          <w:szCs w:val="24"/>
          <w:lang w:eastAsia="lv-LV"/>
        </w:rPr>
        <w:t xml:space="preserve"> vai vispār atjaunosies iepriekšējā apjomā,</w:t>
      </w:r>
    </w:p>
    <w:p w14:paraId="202986EC" w14:textId="77777777" w:rsidR="005160AC" w:rsidRPr="00F264E6" w:rsidRDefault="005160AC" w:rsidP="005160AC">
      <w:pPr>
        <w:numPr>
          <w:ilvl w:val="1"/>
          <w:numId w:val="1"/>
        </w:numPr>
        <w:tabs>
          <w:tab w:val="clear" w:pos="1440"/>
        </w:tabs>
        <w:spacing w:after="0" w:line="240" w:lineRule="auto"/>
        <w:ind w:left="567" w:hanging="283"/>
        <w:jc w:val="both"/>
        <w:rPr>
          <w:rFonts w:asciiTheme="majorHAnsi" w:eastAsia="Times New Roman" w:hAnsiTheme="majorHAnsi" w:cstheme="majorHAnsi"/>
          <w:kern w:val="36"/>
          <w:sz w:val="24"/>
          <w:szCs w:val="24"/>
          <w:lang w:eastAsia="lv-LV"/>
        </w:rPr>
      </w:pPr>
      <w:r w:rsidRPr="00F264E6">
        <w:rPr>
          <w:rFonts w:asciiTheme="majorHAnsi" w:eastAsia="Times New Roman" w:hAnsiTheme="majorHAnsi" w:cstheme="majorHAnsi"/>
          <w:kern w:val="36"/>
          <w:sz w:val="24"/>
          <w:szCs w:val="24"/>
          <w:lang w:eastAsia="lv-LV"/>
        </w:rPr>
        <w:t>cik ilgi ilgs ekonomikas recesija (vai šoks ir īstermiņa vai ilgstošs)</w:t>
      </w:r>
      <w:r>
        <w:rPr>
          <w:rFonts w:asciiTheme="majorHAnsi" w:eastAsia="Times New Roman" w:hAnsiTheme="majorHAnsi" w:cstheme="majorHAnsi"/>
          <w:kern w:val="36"/>
          <w:sz w:val="24"/>
          <w:szCs w:val="24"/>
          <w:lang w:eastAsia="lv-LV"/>
        </w:rPr>
        <w:t>,</w:t>
      </w:r>
    </w:p>
    <w:p w14:paraId="7429D47D" w14:textId="77777777" w:rsidR="005160AC" w:rsidRPr="00F264E6" w:rsidRDefault="005160AC" w:rsidP="005160AC">
      <w:pPr>
        <w:numPr>
          <w:ilvl w:val="1"/>
          <w:numId w:val="1"/>
        </w:numPr>
        <w:tabs>
          <w:tab w:val="clear" w:pos="1440"/>
        </w:tabs>
        <w:spacing w:after="0" w:line="240" w:lineRule="auto"/>
        <w:ind w:left="567" w:hanging="283"/>
        <w:jc w:val="both"/>
        <w:rPr>
          <w:rFonts w:asciiTheme="majorHAnsi" w:eastAsia="Times New Roman" w:hAnsiTheme="majorHAnsi" w:cstheme="majorHAnsi"/>
          <w:kern w:val="36"/>
          <w:sz w:val="24"/>
          <w:szCs w:val="24"/>
          <w:lang w:eastAsia="lv-LV"/>
        </w:rPr>
      </w:pPr>
      <w:r w:rsidRPr="00F264E6">
        <w:rPr>
          <w:rFonts w:asciiTheme="majorHAnsi" w:eastAsia="Times New Roman" w:hAnsiTheme="majorHAnsi" w:cstheme="majorHAnsi"/>
          <w:kern w:val="36"/>
          <w:sz w:val="24"/>
          <w:szCs w:val="24"/>
          <w:lang w:eastAsia="lv-LV"/>
        </w:rPr>
        <w:t>vai šoks radīja ekonomikai būtiskus strukturālos kaitējums</w:t>
      </w:r>
      <w:r>
        <w:rPr>
          <w:rFonts w:asciiTheme="majorHAnsi" w:eastAsia="Times New Roman" w:hAnsiTheme="majorHAnsi" w:cstheme="majorHAnsi"/>
          <w:kern w:val="36"/>
          <w:sz w:val="24"/>
          <w:szCs w:val="24"/>
          <w:lang w:eastAsia="lv-LV"/>
        </w:rPr>
        <w:t>.</w:t>
      </w:r>
    </w:p>
    <w:p w14:paraId="03C9A791" w14:textId="77777777" w:rsidR="005160AC" w:rsidRPr="00F264E6" w:rsidRDefault="005160AC" w:rsidP="005160AC">
      <w:pPr>
        <w:spacing w:after="0" w:line="240" w:lineRule="auto"/>
        <w:jc w:val="both"/>
        <w:rPr>
          <w:rFonts w:asciiTheme="majorHAnsi" w:eastAsia="Times New Roman" w:hAnsiTheme="majorHAnsi" w:cstheme="majorHAnsi"/>
          <w:kern w:val="36"/>
          <w:sz w:val="24"/>
          <w:szCs w:val="24"/>
        </w:rPr>
      </w:pPr>
      <w:r w:rsidRPr="00F264E6">
        <w:rPr>
          <w:rFonts w:asciiTheme="majorHAnsi" w:eastAsia="Times New Roman" w:hAnsiTheme="majorHAnsi" w:cstheme="majorHAnsi"/>
          <w:kern w:val="36"/>
          <w:sz w:val="24"/>
          <w:szCs w:val="24"/>
        </w:rPr>
        <w:t xml:space="preserve">Šāda veida scenārijā trieciens ekonomikai turpinās ilgāk par vienu gadu. Ekonomikas zaudējumi (IKP samazinājums un bezdarba līmeņa pieaugums) ir lielāki nekā «V» veida scenārijā. Atgriešanās sākotnējā izaugsmes dinamikā atsākās vēlāk. </w:t>
      </w:r>
    </w:p>
    <w:p w14:paraId="6A2E055E" w14:textId="77777777" w:rsidR="005160AC" w:rsidRPr="00F264E6" w:rsidRDefault="005160AC" w:rsidP="005160AC">
      <w:pPr>
        <w:spacing w:after="0" w:line="240" w:lineRule="auto"/>
        <w:rPr>
          <w:rFonts w:asciiTheme="majorHAnsi" w:eastAsia="Times New Roman" w:hAnsiTheme="majorHAnsi" w:cstheme="majorHAnsi"/>
          <w:b/>
          <w:kern w:val="36"/>
          <w:sz w:val="8"/>
          <w:szCs w:val="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329"/>
      </w:tblGrid>
      <w:tr w:rsidR="005160AC" w14:paraId="152C7BD6" w14:textId="77777777" w:rsidTr="20794AED">
        <w:trPr>
          <w:trHeight w:val="2797"/>
          <w:jc w:val="center"/>
        </w:trPr>
        <w:tc>
          <w:tcPr>
            <w:tcW w:w="4956" w:type="dxa"/>
          </w:tcPr>
          <w:p w14:paraId="0290E0FC" w14:textId="77777777" w:rsidR="005160AC" w:rsidRPr="00F264E6" w:rsidRDefault="005160AC" w:rsidP="008610FC">
            <w:pPr>
              <w:rPr>
                <w:rFonts w:asciiTheme="majorHAnsi" w:hAnsiTheme="majorHAnsi" w:cstheme="majorHAnsi"/>
                <w:b/>
                <w:kern w:val="36"/>
              </w:rPr>
            </w:pPr>
            <w:r>
              <w:rPr>
                <w:noProof/>
              </w:rPr>
              <w:drawing>
                <wp:inline distT="0" distB="0" distL="0" distR="0" wp14:anchorId="1DAFB0C5" wp14:editId="2B48B1CF">
                  <wp:extent cx="2640352" cy="1718441"/>
                  <wp:effectExtent l="0" t="0" r="7620" b="0"/>
                  <wp:docPr id="907829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4">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id="{54417CA8-611C-41C8-8F2E-88D92E2A7D23}"/>
                              </a:ext>
                            </a:extLst>
                          </a:blip>
                          <a:stretch>
                            <a:fillRect/>
                          </a:stretch>
                        </pic:blipFill>
                        <pic:spPr>
                          <a:xfrm>
                            <a:off x="0" y="0"/>
                            <a:ext cx="2640352" cy="1718441"/>
                          </a:xfrm>
                          <a:prstGeom prst="rect">
                            <a:avLst/>
                          </a:prstGeom>
                        </pic:spPr>
                      </pic:pic>
                    </a:graphicData>
                  </a:graphic>
                </wp:inline>
              </w:drawing>
            </w:r>
          </w:p>
        </w:tc>
        <w:tc>
          <w:tcPr>
            <w:tcW w:w="4957" w:type="dxa"/>
          </w:tcPr>
          <w:p w14:paraId="0B13E45D" w14:textId="77777777" w:rsidR="005160AC" w:rsidRPr="00F264E6" w:rsidRDefault="005160AC" w:rsidP="008610FC">
            <w:pPr>
              <w:rPr>
                <w:rFonts w:asciiTheme="majorHAnsi" w:hAnsiTheme="majorHAnsi" w:cstheme="majorHAnsi"/>
                <w:b/>
                <w:kern w:val="36"/>
              </w:rPr>
            </w:pPr>
            <w:r>
              <w:rPr>
                <w:noProof/>
              </w:rPr>
              <w:drawing>
                <wp:inline distT="0" distB="0" distL="0" distR="0" wp14:anchorId="1642C88D" wp14:editId="54091C5D">
                  <wp:extent cx="3246964" cy="1718310"/>
                  <wp:effectExtent l="0" t="0" r="0" b="0"/>
                  <wp:docPr id="735847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5">
                            <a:extLst>
                              <a:ext uri="{FF2B5EF4-FFF2-40B4-BE49-F238E27FC236}">
                                <a16:creationId xmlns="" xmlns:o="urn:schemas-microsoft-com:office:office" xmlns:v="urn:schemas-microsoft-com:vml" xmlns:w10="urn:schemas-microsoft-com:office:word" xmlns:w="http://schemas.openxmlformats.org/wordprocessingml/2006/main" xmlns:a14="http://schemas.microsoft.com/office/drawing/2010/main" xmlns:c="http://schemas.openxmlformats.org/drawingml/2006/chart" xmlns:a16="http://schemas.microsoft.com/office/drawing/2014/main" xmlns:arto="http://schemas.microsoft.com/office/word/2006/arto" id="{6288AB8D-A140-4331-ADE6-858EA1F6B2BB}"/>
                              </a:ext>
                            </a:extLst>
                          </a:blip>
                          <a:stretch>
                            <a:fillRect/>
                          </a:stretch>
                        </pic:blipFill>
                        <pic:spPr>
                          <a:xfrm>
                            <a:off x="0" y="0"/>
                            <a:ext cx="3246964" cy="1718310"/>
                          </a:xfrm>
                          <a:prstGeom prst="rect">
                            <a:avLst/>
                          </a:prstGeom>
                        </pic:spPr>
                      </pic:pic>
                    </a:graphicData>
                  </a:graphic>
                </wp:inline>
              </w:drawing>
            </w:r>
          </w:p>
        </w:tc>
      </w:tr>
    </w:tbl>
    <w:p w14:paraId="6697861D" w14:textId="77777777" w:rsidR="005160AC" w:rsidRDefault="005160AC" w:rsidP="005160AC">
      <w:pPr>
        <w:spacing w:after="0" w:line="240" w:lineRule="auto"/>
        <w:jc w:val="both"/>
        <w:rPr>
          <w:rFonts w:asciiTheme="majorHAnsi" w:eastAsia="Times New Roman" w:hAnsiTheme="majorHAnsi" w:cstheme="majorHAnsi"/>
          <w:kern w:val="36"/>
          <w:sz w:val="24"/>
          <w:szCs w:val="24"/>
          <w:lang w:eastAsia="lv-LV"/>
        </w:rPr>
      </w:pPr>
      <w:r w:rsidRPr="00F264E6">
        <w:rPr>
          <w:rFonts w:asciiTheme="majorHAnsi" w:eastAsia="Times New Roman" w:hAnsiTheme="majorHAnsi" w:cstheme="majorHAnsi"/>
          <w:b/>
          <w:bCs/>
          <w:noProof/>
          <w:kern w:val="36"/>
        </w:rPr>
        <w:drawing>
          <wp:anchor distT="0" distB="0" distL="114300" distR="114300" simplePos="0" relativeHeight="251662336" behindDoc="0" locked="0" layoutInCell="1" allowOverlap="1" wp14:anchorId="0005C268" wp14:editId="77FFB145">
            <wp:simplePos x="0" y="0"/>
            <wp:positionH relativeFrom="column">
              <wp:posOffset>2711450</wp:posOffset>
            </wp:positionH>
            <wp:positionV relativeFrom="paragraph">
              <wp:posOffset>173726</wp:posOffset>
            </wp:positionV>
            <wp:extent cx="3670935" cy="2113280"/>
            <wp:effectExtent l="0" t="0" r="0" b="0"/>
            <wp:wrapSquare wrapText="bothSides"/>
            <wp:docPr id="2054" name="Chart 2054">
              <a:extLst xmlns:a="http://schemas.openxmlformats.org/drawingml/2006/main">
                <a:ext uri="{FF2B5EF4-FFF2-40B4-BE49-F238E27FC236}">
                  <a16:creationId xmlns:a16="http://schemas.microsoft.com/office/drawing/2014/main" id="{0F26791D-9338-4513-8421-EBBB9F19DB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14:paraId="5E00FF21" w14:textId="77777777" w:rsidR="005160AC" w:rsidRPr="00F264E6" w:rsidRDefault="005160AC" w:rsidP="005160AC">
      <w:pPr>
        <w:spacing w:after="0" w:line="240" w:lineRule="auto"/>
        <w:jc w:val="both"/>
        <w:rPr>
          <w:rFonts w:asciiTheme="majorHAnsi" w:eastAsia="Times New Roman" w:hAnsiTheme="majorHAnsi" w:cstheme="majorHAnsi"/>
          <w:kern w:val="36"/>
          <w:sz w:val="24"/>
          <w:szCs w:val="24"/>
          <w:lang w:eastAsia="lv-LV"/>
        </w:rPr>
      </w:pPr>
      <w:r w:rsidRPr="00F264E6">
        <w:rPr>
          <w:rFonts w:asciiTheme="majorHAnsi" w:eastAsia="Times New Roman" w:hAnsiTheme="majorHAnsi" w:cstheme="majorHAnsi"/>
          <w:kern w:val="36"/>
          <w:sz w:val="24"/>
          <w:szCs w:val="24"/>
          <w:lang w:eastAsia="lv-LV"/>
        </w:rPr>
        <w:t xml:space="preserve">U veida scenārija gadījumā, bez aktīvas politikas un ekonomikas transformācijas, ilgtermiņā ekonomikas izaugsmes temps </w:t>
      </w:r>
      <w:r w:rsidRPr="00F264E6">
        <w:rPr>
          <w:rFonts w:asciiTheme="majorHAnsi" w:eastAsia="Times New Roman" w:hAnsiTheme="majorHAnsi" w:cstheme="majorHAnsi"/>
          <w:sz w:val="24"/>
          <w:szCs w:val="24"/>
          <w:lang w:eastAsia="lv-LV"/>
        </w:rPr>
        <w:t xml:space="preserve">atgriezīsies  līdzšinējā </w:t>
      </w:r>
      <w:r w:rsidRPr="00F264E6">
        <w:rPr>
          <w:rFonts w:asciiTheme="majorHAnsi" w:eastAsia="Times New Roman" w:hAnsiTheme="majorHAnsi" w:cstheme="majorHAnsi"/>
          <w:kern w:val="36"/>
          <w:sz w:val="24"/>
          <w:szCs w:val="24"/>
          <w:lang w:eastAsia="lv-LV"/>
        </w:rPr>
        <w:t xml:space="preserve">~3%, līmenī, taču krīzes dēļ notiks atpalikšana  no iepriekšējo gadu dinamikas līknes. </w:t>
      </w:r>
    </w:p>
    <w:p w14:paraId="67488F6B" w14:textId="77777777" w:rsidR="005160AC" w:rsidRPr="00F264E6" w:rsidRDefault="005160AC" w:rsidP="005160AC">
      <w:pPr>
        <w:spacing w:line="240" w:lineRule="auto"/>
        <w:rPr>
          <w:rFonts w:asciiTheme="majorHAnsi" w:eastAsia="Times New Roman" w:hAnsiTheme="majorHAnsi" w:cstheme="majorHAnsi"/>
          <w:b/>
          <w:kern w:val="36"/>
        </w:rPr>
      </w:pPr>
    </w:p>
    <w:p w14:paraId="65B2F46E" w14:textId="77777777" w:rsidR="005160AC" w:rsidRDefault="005160AC" w:rsidP="005160AC">
      <w:pPr>
        <w:pStyle w:val="Heading1"/>
        <w:spacing w:before="0" w:beforeAutospacing="0" w:after="40" w:afterAutospacing="0"/>
        <w:rPr>
          <w:rFonts w:asciiTheme="majorHAnsi" w:hAnsiTheme="majorHAnsi" w:cstheme="majorHAnsi"/>
          <w:color w:val="44546A" w:themeColor="text2"/>
          <w:sz w:val="40"/>
          <w:szCs w:val="40"/>
        </w:rPr>
      </w:pPr>
    </w:p>
    <w:p w14:paraId="1D5803C5" w14:textId="77777777" w:rsidR="005160AC" w:rsidRDefault="005160AC" w:rsidP="005160AC">
      <w:pPr>
        <w:pStyle w:val="Heading1"/>
        <w:spacing w:before="0" w:beforeAutospacing="0" w:after="40" w:afterAutospacing="0"/>
        <w:rPr>
          <w:rFonts w:asciiTheme="majorHAnsi" w:hAnsiTheme="majorHAnsi" w:cstheme="majorHAnsi"/>
          <w:color w:val="44546A" w:themeColor="text2"/>
          <w:sz w:val="40"/>
          <w:szCs w:val="40"/>
        </w:rPr>
      </w:pPr>
    </w:p>
    <w:p w14:paraId="726036D0" w14:textId="77777777" w:rsidR="00617D95" w:rsidRDefault="0016044A" w:rsidP="005160AC">
      <w:pPr>
        <w:ind w:left="-142"/>
      </w:pPr>
    </w:p>
    <w:sectPr w:rsidR="00617D95" w:rsidSect="005160AC">
      <w:pgSz w:w="11906" w:h="16838"/>
      <w:pgMar w:top="851"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95E59"/>
    <w:multiLevelType w:val="hybridMultilevel"/>
    <w:tmpl w:val="958A4986"/>
    <w:lvl w:ilvl="0" w:tplc="FE70A5B0">
      <w:start w:val="1"/>
      <w:numFmt w:val="bullet"/>
      <w:lvlText w:val="•"/>
      <w:lvlJc w:val="left"/>
      <w:pPr>
        <w:tabs>
          <w:tab w:val="num" w:pos="720"/>
        </w:tabs>
        <w:ind w:left="720" w:hanging="360"/>
      </w:pPr>
      <w:rPr>
        <w:rFonts w:ascii="Arial" w:hAnsi="Arial" w:hint="default"/>
      </w:rPr>
    </w:lvl>
    <w:lvl w:ilvl="1" w:tplc="FD1842D8">
      <w:start w:val="1"/>
      <w:numFmt w:val="bullet"/>
      <w:lvlText w:val="•"/>
      <w:lvlJc w:val="left"/>
      <w:pPr>
        <w:tabs>
          <w:tab w:val="num" w:pos="1440"/>
        </w:tabs>
        <w:ind w:left="1440" w:hanging="360"/>
      </w:pPr>
      <w:rPr>
        <w:rFonts w:ascii="Arial" w:hAnsi="Arial" w:hint="default"/>
      </w:rPr>
    </w:lvl>
    <w:lvl w:ilvl="2" w:tplc="B2A4B424" w:tentative="1">
      <w:start w:val="1"/>
      <w:numFmt w:val="bullet"/>
      <w:lvlText w:val="•"/>
      <w:lvlJc w:val="left"/>
      <w:pPr>
        <w:tabs>
          <w:tab w:val="num" w:pos="2160"/>
        </w:tabs>
        <w:ind w:left="2160" w:hanging="360"/>
      </w:pPr>
      <w:rPr>
        <w:rFonts w:ascii="Arial" w:hAnsi="Arial" w:hint="default"/>
      </w:rPr>
    </w:lvl>
    <w:lvl w:ilvl="3" w:tplc="5E7C36B2" w:tentative="1">
      <w:start w:val="1"/>
      <w:numFmt w:val="bullet"/>
      <w:lvlText w:val="•"/>
      <w:lvlJc w:val="left"/>
      <w:pPr>
        <w:tabs>
          <w:tab w:val="num" w:pos="2880"/>
        </w:tabs>
        <w:ind w:left="2880" w:hanging="360"/>
      </w:pPr>
      <w:rPr>
        <w:rFonts w:ascii="Arial" w:hAnsi="Arial" w:hint="default"/>
      </w:rPr>
    </w:lvl>
    <w:lvl w:ilvl="4" w:tplc="9E06F6D4" w:tentative="1">
      <w:start w:val="1"/>
      <w:numFmt w:val="bullet"/>
      <w:lvlText w:val="•"/>
      <w:lvlJc w:val="left"/>
      <w:pPr>
        <w:tabs>
          <w:tab w:val="num" w:pos="3600"/>
        </w:tabs>
        <w:ind w:left="3600" w:hanging="360"/>
      </w:pPr>
      <w:rPr>
        <w:rFonts w:ascii="Arial" w:hAnsi="Arial" w:hint="default"/>
      </w:rPr>
    </w:lvl>
    <w:lvl w:ilvl="5" w:tplc="D6D093AA" w:tentative="1">
      <w:start w:val="1"/>
      <w:numFmt w:val="bullet"/>
      <w:lvlText w:val="•"/>
      <w:lvlJc w:val="left"/>
      <w:pPr>
        <w:tabs>
          <w:tab w:val="num" w:pos="4320"/>
        </w:tabs>
        <w:ind w:left="4320" w:hanging="360"/>
      </w:pPr>
      <w:rPr>
        <w:rFonts w:ascii="Arial" w:hAnsi="Arial" w:hint="default"/>
      </w:rPr>
    </w:lvl>
    <w:lvl w:ilvl="6" w:tplc="4DB69F78" w:tentative="1">
      <w:start w:val="1"/>
      <w:numFmt w:val="bullet"/>
      <w:lvlText w:val="•"/>
      <w:lvlJc w:val="left"/>
      <w:pPr>
        <w:tabs>
          <w:tab w:val="num" w:pos="5040"/>
        </w:tabs>
        <w:ind w:left="5040" w:hanging="360"/>
      </w:pPr>
      <w:rPr>
        <w:rFonts w:ascii="Arial" w:hAnsi="Arial" w:hint="default"/>
      </w:rPr>
    </w:lvl>
    <w:lvl w:ilvl="7" w:tplc="2A56AF9C" w:tentative="1">
      <w:start w:val="1"/>
      <w:numFmt w:val="bullet"/>
      <w:lvlText w:val="•"/>
      <w:lvlJc w:val="left"/>
      <w:pPr>
        <w:tabs>
          <w:tab w:val="num" w:pos="5760"/>
        </w:tabs>
        <w:ind w:left="5760" w:hanging="360"/>
      </w:pPr>
      <w:rPr>
        <w:rFonts w:ascii="Arial" w:hAnsi="Arial" w:hint="default"/>
      </w:rPr>
    </w:lvl>
    <w:lvl w:ilvl="8" w:tplc="790C3A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AC"/>
    <w:rsid w:val="000054D3"/>
    <w:rsid w:val="0016044A"/>
    <w:rsid w:val="0019455B"/>
    <w:rsid w:val="00367B39"/>
    <w:rsid w:val="005160AC"/>
    <w:rsid w:val="00DB6263"/>
    <w:rsid w:val="00E31AF8"/>
    <w:rsid w:val="20794AED"/>
    <w:rsid w:val="6C14E9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0748"/>
  <w15:chartTrackingRefBased/>
  <w15:docId w15:val="{CD9E7976-C4A7-4A16-A680-47D66C99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AC"/>
  </w:style>
  <w:style w:type="paragraph" w:styleId="Heading1">
    <w:name w:val="heading 1"/>
    <w:basedOn w:val="Normal"/>
    <w:link w:val="Heading1Char"/>
    <w:uiPriority w:val="9"/>
    <w:qFormat/>
    <w:rsid w:val="005160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0AC"/>
    <w:rPr>
      <w:rFonts w:ascii="Times New Roman" w:eastAsia="Times New Roman" w:hAnsi="Times New Roman" w:cs="Times New Roman"/>
      <w:b/>
      <w:bCs/>
      <w:kern w:val="36"/>
      <w:sz w:val="48"/>
      <w:szCs w:val="48"/>
      <w:lang w:eastAsia="lv-LV"/>
    </w:rPr>
  </w:style>
  <w:style w:type="table" w:styleId="TableGrid">
    <w:name w:val="Table Grid"/>
    <w:basedOn w:val="TableNormal"/>
    <w:uiPriority w:val="39"/>
    <w:rsid w:val="00516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160AC"/>
  </w:style>
  <w:style w:type="paragraph" w:styleId="BalloonText">
    <w:name w:val="Balloon Text"/>
    <w:basedOn w:val="Normal"/>
    <w:link w:val="BalloonTextChar"/>
    <w:uiPriority w:val="99"/>
    <w:semiHidden/>
    <w:unhideWhenUsed/>
    <w:rsid w:val="00516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9.png"/><Relationship Id="rId26"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image" Target="media/image10.jpg"/><Relationship Id="rId7" Type="http://schemas.openxmlformats.org/officeDocument/2006/relationships/chart" Target="charts/chart1.xml"/><Relationship Id="rId12" Type="http://schemas.openxmlformats.org/officeDocument/2006/relationships/image" Target="media/image7.png"/><Relationship Id="rId17" Type="http://schemas.openxmlformats.org/officeDocument/2006/relationships/chart" Target="charts/chart5.xm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chart" Target="charts/chart3.xml"/><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2.xml"/><Relationship Id="rId22" Type="http://schemas.openxmlformats.org/officeDocument/2006/relationships/image" Target="media/image11.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alminsJ\Documents\SalminsJ\DARBS\MAKRO%20scen&#257;riji\MODEL%20-%20B&#257;ze.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47386469194105E-2"/>
          <c:y val="8.3186790688409201E-2"/>
          <c:w val="0.90682235282882917"/>
          <c:h val="0.78838762512380967"/>
        </c:manualLayout>
      </c:layout>
      <c:barChart>
        <c:barDir val="col"/>
        <c:grouping val="clustered"/>
        <c:varyColors val="0"/>
        <c:ser>
          <c:idx val="9"/>
          <c:order val="0"/>
          <c:tx>
            <c:strRef>
              <c:f>Sheet1!$A$2</c:f>
              <c:strCache>
                <c:ptCount val="1"/>
                <c:pt idx="0">
                  <c:v>Pirms koronavīrusa bāzes scenārijs</c:v>
                </c:pt>
              </c:strCache>
            </c:strRef>
          </c:tx>
          <c:spPr>
            <a:solidFill>
              <a:schemeClr val="tx1">
                <a:lumMod val="50000"/>
                <a:lumOff val="50000"/>
              </a:schemeClr>
            </a:solidFill>
            <a:ln>
              <a:solidFill>
                <a:schemeClr val="bg1">
                  <a:lumMod val="8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Arial Nova Cond Light" panose="020B0306020202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Sheet1!$B$1:$E$1</c:f>
              <c:strCache>
                <c:ptCount val="4"/>
                <c:pt idx="0">
                  <c:v>Pasaule</c:v>
                </c:pt>
                <c:pt idx="1">
                  <c:v>ASV</c:v>
                </c:pt>
                <c:pt idx="2">
                  <c:v>Eirozona</c:v>
                </c:pt>
                <c:pt idx="3">
                  <c:v>Ķīna</c:v>
                </c:pt>
              </c:strCache>
            </c:strRef>
          </c:cat>
          <c:val>
            <c:numRef>
              <c:f>Sheet1!$B$2:$E$2</c:f>
              <c:numCache>
                <c:formatCode>0.0</c:formatCode>
                <c:ptCount val="4"/>
                <c:pt idx="0">
                  <c:v>3.3</c:v>
                </c:pt>
                <c:pt idx="1">
                  <c:v>2</c:v>
                </c:pt>
                <c:pt idx="2">
                  <c:v>1.3</c:v>
                </c:pt>
                <c:pt idx="3">
                  <c:v>6</c:v>
                </c:pt>
              </c:numCache>
            </c:numRef>
          </c:val>
          <c:extLst>
            <c:ext xmlns:c16="http://schemas.microsoft.com/office/drawing/2014/chart" uri="{C3380CC4-5D6E-409C-BE32-E72D297353CC}">
              <c16:uniqueId val="{00000000-7320-47D0-B13C-EBCA51413FA0}"/>
            </c:ext>
          </c:extLst>
        </c:ser>
        <c:ser>
          <c:idx val="0"/>
          <c:order val="1"/>
          <c:tx>
            <c:strRef>
              <c:f>Sheet1!$A$3</c:f>
              <c:strCache>
                <c:ptCount val="1"/>
                <c:pt idx="0">
                  <c:v>Pašreizējais scenārijs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000000"/>
                    </a:solidFill>
                    <a:latin typeface="Arial Nova Cond Light" panose="020B0306020202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Sheet1!$B$1:$E$1</c:f>
              <c:strCache>
                <c:ptCount val="4"/>
                <c:pt idx="0">
                  <c:v>Pasaule</c:v>
                </c:pt>
                <c:pt idx="1">
                  <c:v>ASV</c:v>
                </c:pt>
                <c:pt idx="2">
                  <c:v>Eirozona</c:v>
                </c:pt>
                <c:pt idx="3">
                  <c:v>Ķīna</c:v>
                </c:pt>
              </c:strCache>
            </c:strRef>
          </c:cat>
          <c:val>
            <c:numRef>
              <c:f>Sheet1!$B$3:$E$3</c:f>
              <c:numCache>
                <c:formatCode>0.0</c:formatCode>
                <c:ptCount val="4"/>
                <c:pt idx="0">
                  <c:v>-3</c:v>
                </c:pt>
                <c:pt idx="1">
                  <c:v>-5.9</c:v>
                </c:pt>
                <c:pt idx="2">
                  <c:v>-7.5</c:v>
                </c:pt>
                <c:pt idx="3">
                  <c:v>1.2</c:v>
                </c:pt>
              </c:numCache>
            </c:numRef>
          </c:val>
          <c:extLst>
            <c:ext xmlns:c16="http://schemas.microsoft.com/office/drawing/2014/chart" uri="{C3380CC4-5D6E-409C-BE32-E72D297353CC}">
              <c16:uniqueId val="{00000001-7320-47D0-B13C-EBCA51413FA0}"/>
            </c:ext>
          </c:extLst>
        </c:ser>
        <c:dLbls>
          <c:showLegendKey val="0"/>
          <c:showVal val="0"/>
          <c:showCatName val="0"/>
          <c:showSerName val="0"/>
          <c:showPercent val="0"/>
          <c:showBubbleSize val="0"/>
        </c:dLbls>
        <c:gapWidth val="30"/>
        <c:axId val="274520384"/>
        <c:axId val="278072192"/>
      </c:barChart>
      <c:catAx>
        <c:axId val="274520384"/>
        <c:scaling>
          <c:orientation val="minMax"/>
        </c:scaling>
        <c:delete val="0"/>
        <c:axPos val="b"/>
        <c:numFmt formatCode="General" sourceLinked="1"/>
        <c:majorTickMark val="none"/>
        <c:minorTickMark val="none"/>
        <c:tickLblPos val="low"/>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Arial Nova Cond Light" panose="020B0306020202020204" pitchFamily="34" charset="0"/>
                <a:ea typeface="Arial"/>
                <a:cs typeface="Arial"/>
              </a:defRPr>
            </a:pPr>
            <a:endParaRPr lang="lv-LV"/>
          </a:p>
        </c:txPr>
        <c:crossAx val="278072192"/>
        <c:crosses val="autoZero"/>
        <c:auto val="0"/>
        <c:lblAlgn val="ctr"/>
        <c:lblOffset val="100"/>
        <c:tickLblSkip val="1"/>
        <c:noMultiLvlLbl val="0"/>
      </c:catAx>
      <c:valAx>
        <c:axId val="278072192"/>
        <c:scaling>
          <c:orientation val="minMax"/>
        </c:scaling>
        <c:delete val="0"/>
        <c:axPos val="l"/>
        <c:numFmt formatCode="0" sourceLinked="0"/>
        <c:majorTickMark val="out"/>
        <c:minorTickMark val="none"/>
        <c:tickLblPos val="nextTo"/>
        <c:spPr>
          <a:noFill/>
          <a:ln w="3175" cap="flat" cmpd="sng" algn="ctr">
            <a:noFill/>
            <a:prstDash val="solid"/>
            <a:round/>
          </a:ln>
          <a:effectLst/>
        </c:spPr>
        <c:txPr>
          <a:bodyPr rot="0" spcFirstLastPara="1" vertOverflow="ellipsis" wrap="square" anchor="ctr" anchorCtr="1"/>
          <a:lstStyle/>
          <a:p>
            <a:pPr>
              <a:defRPr sz="800" b="0" i="0" u="none" strike="noStrike" kern="1200" baseline="0">
                <a:solidFill>
                  <a:srgbClr val="000000"/>
                </a:solidFill>
                <a:latin typeface="Arial Nova Cond Light" panose="020B0306020202020204" pitchFamily="34" charset="0"/>
                <a:ea typeface="Arial"/>
                <a:cs typeface="Arial"/>
              </a:defRPr>
            </a:pPr>
            <a:endParaRPr lang="lv-LV"/>
          </a:p>
        </c:txPr>
        <c:crossAx val="274520384"/>
        <c:crosses val="autoZero"/>
        <c:crossBetween val="between"/>
        <c:majorUnit val="2"/>
      </c:valAx>
      <c:spPr>
        <a:noFill/>
        <a:ln w="24631">
          <a:noFill/>
        </a:ln>
        <a:effectLst/>
      </c:spPr>
    </c:plotArea>
    <c:legend>
      <c:legendPos val="l"/>
      <c:layout>
        <c:manualLayout>
          <c:xMode val="edge"/>
          <c:yMode val="edge"/>
          <c:x val="6.3561610855091571E-2"/>
          <c:y val="3.9954988658091946E-2"/>
          <c:w val="0.47573130191340746"/>
          <c:h val="0.15623751528599331"/>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Arial Nova Cond Light" panose="020B0306020202020204" pitchFamily="34" charset="0"/>
              <a:ea typeface="Arial"/>
              <a:cs typeface="Arial"/>
            </a:defRPr>
          </a:pPr>
          <a:endParaRPr lang="lv-LV"/>
        </a:p>
      </c:txPr>
    </c:legend>
    <c:plotVisOnly val="1"/>
    <c:dispBlanksAs val="gap"/>
    <c:showDLblsOverMax val="0"/>
  </c:chart>
  <c:spPr>
    <a:noFill/>
    <a:ln w="9525" cap="flat" cmpd="sng" algn="ctr">
      <a:noFill/>
      <a:prstDash val="solid"/>
      <a:round/>
    </a:ln>
    <a:effectLst/>
  </c:spPr>
  <c:txPr>
    <a:bodyPr/>
    <a:lstStyle/>
    <a:p>
      <a:pPr>
        <a:defRPr sz="800" b="0" i="0" u="none" strike="noStrike" baseline="0">
          <a:solidFill>
            <a:srgbClr val="000000"/>
          </a:solidFill>
          <a:latin typeface="Arial Nova Cond Light" panose="020B0306020202020204" pitchFamily="34" charset="0"/>
          <a:ea typeface="Arial"/>
          <a:cs typeface="Arial"/>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742839459478048E-2"/>
          <c:y val="3.0768033671667104E-2"/>
          <c:w val="0.96006821854691748"/>
          <c:h val="0.81785226695453395"/>
        </c:manualLayout>
      </c:layout>
      <c:barChart>
        <c:barDir val="col"/>
        <c:grouping val="clustered"/>
        <c:varyColors val="0"/>
        <c:ser>
          <c:idx val="0"/>
          <c:order val="0"/>
          <c:tx>
            <c:strRef>
              <c:f>Sheet1!$A$10</c:f>
              <c:strCache>
                <c:ptCount val="1"/>
                <c:pt idx="0">
                  <c:v>IKP</c:v>
                </c:pt>
              </c:strCache>
            </c:strRef>
          </c:tx>
          <c:spPr>
            <a:solidFill>
              <a:schemeClr val="tx2">
                <a:lumMod val="75000"/>
              </a:schemeClr>
            </a:solidFill>
            <a:ln>
              <a:noFill/>
            </a:ln>
            <a:effectLst/>
          </c:spPr>
          <c:invertIfNegative val="0"/>
          <c:dPt>
            <c:idx val="0"/>
            <c:invertIfNegative val="0"/>
            <c:bubble3D val="0"/>
            <c:spPr>
              <a:solidFill>
                <a:schemeClr val="bg1">
                  <a:lumMod val="65000"/>
                </a:schemeClr>
              </a:solidFill>
              <a:ln>
                <a:noFill/>
              </a:ln>
              <a:effectLst/>
            </c:spPr>
            <c:extLst>
              <c:ext xmlns:c16="http://schemas.microsoft.com/office/drawing/2014/chart" uri="{C3380CC4-5D6E-409C-BE32-E72D297353CC}">
                <c16:uniqueId val="{00000001-541D-40EA-9BE1-67B3615E86C2}"/>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541D-40EA-9BE1-67B3615E86C2}"/>
              </c:ext>
            </c:extLst>
          </c:dPt>
          <c:dPt>
            <c:idx val="2"/>
            <c:invertIfNegative val="0"/>
            <c:bubble3D val="0"/>
            <c:spPr>
              <a:solidFill>
                <a:schemeClr val="bg1">
                  <a:lumMod val="65000"/>
                </a:schemeClr>
              </a:solidFill>
              <a:ln>
                <a:noFill/>
              </a:ln>
              <a:effectLst/>
            </c:spPr>
            <c:extLst>
              <c:ext xmlns:c16="http://schemas.microsoft.com/office/drawing/2014/chart" uri="{C3380CC4-5D6E-409C-BE32-E72D297353CC}">
                <c16:uniqueId val="{00000005-541D-40EA-9BE1-67B3615E86C2}"/>
              </c:ext>
            </c:extLst>
          </c:dPt>
          <c:dPt>
            <c:idx val="3"/>
            <c:invertIfNegative val="0"/>
            <c:bubble3D val="0"/>
            <c:spPr>
              <a:solidFill>
                <a:schemeClr val="bg1">
                  <a:lumMod val="65000"/>
                </a:schemeClr>
              </a:solidFill>
              <a:ln>
                <a:noFill/>
              </a:ln>
              <a:effectLst/>
            </c:spPr>
            <c:extLst>
              <c:ext xmlns:c16="http://schemas.microsoft.com/office/drawing/2014/chart" uri="{C3380CC4-5D6E-409C-BE32-E72D297353CC}">
                <c16:uniqueId val="{00000007-541D-40EA-9BE1-67B3615E86C2}"/>
              </c:ext>
            </c:extLst>
          </c:dPt>
          <c:dPt>
            <c:idx val="4"/>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9-541D-40EA-9BE1-67B3615E86C2}"/>
              </c:ext>
            </c:extLst>
          </c:dPt>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B-541D-40EA-9BE1-67B3615E86C2}"/>
              </c:ext>
            </c:extLst>
          </c:dPt>
          <c:dPt>
            <c:idx val="12"/>
            <c:invertIfNegative val="0"/>
            <c:bubble3D val="0"/>
            <c:extLst>
              <c:ext xmlns:c16="http://schemas.microsoft.com/office/drawing/2014/chart" uri="{C3380CC4-5D6E-409C-BE32-E72D297353CC}">
                <c16:uniqueId val="{0000000C-541D-40EA-9BE1-67B3615E86C2}"/>
              </c:ext>
            </c:extLst>
          </c:dPt>
          <c:dPt>
            <c:idx val="13"/>
            <c:invertIfNegative val="0"/>
            <c:bubble3D val="0"/>
            <c:extLst>
              <c:ext xmlns:c16="http://schemas.microsoft.com/office/drawing/2014/chart" uri="{C3380CC4-5D6E-409C-BE32-E72D297353CC}">
                <c16:uniqueId val="{0000000D-541D-40EA-9BE1-67B3615E86C2}"/>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rgbClr val="000000"/>
                    </a:solidFill>
                    <a:latin typeface="Candara" panose="020E0502030303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Sheet1!$B$9:$H$9</c:f>
              <c:numCache>
                <c:formatCode>General</c:formatCode>
                <c:ptCount val="7"/>
                <c:pt idx="0">
                  <c:v>2016</c:v>
                </c:pt>
                <c:pt idx="1">
                  <c:v>2017</c:v>
                </c:pt>
                <c:pt idx="2">
                  <c:v>2018</c:v>
                </c:pt>
                <c:pt idx="3">
                  <c:v>2019</c:v>
                </c:pt>
                <c:pt idx="4">
                  <c:v>2020</c:v>
                </c:pt>
                <c:pt idx="5">
                  <c:v>2020</c:v>
                </c:pt>
                <c:pt idx="6">
                  <c:v>2020</c:v>
                </c:pt>
              </c:numCache>
            </c:numRef>
          </c:cat>
          <c:val>
            <c:numRef>
              <c:f>Sheet1!$B$10:$H$10</c:f>
              <c:numCache>
                <c:formatCode>0.0</c:formatCode>
                <c:ptCount val="7"/>
                <c:pt idx="0">
                  <c:v>1.7737971496802061</c:v>
                </c:pt>
                <c:pt idx="1">
                  <c:v>3.7873179328014714</c:v>
                </c:pt>
                <c:pt idx="2">
                  <c:v>4.284825163446925</c:v>
                </c:pt>
                <c:pt idx="3" formatCode="General">
                  <c:v>2.1974417683450724</c:v>
                </c:pt>
                <c:pt idx="4">
                  <c:v>2.1</c:v>
                </c:pt>
                <c:pt idx="5">
                  <c:v>-4</c:v>
                </c:pt>
                <c:pt idx="6">
                  <c:v>-8</c:v>
                </c:pt>
              </c:numCache>
            </c:numRef>
          </c:val>
          <c:extLst>
            <c:ext xmlns:c16="http://schemas.microsoft.com/office/drawing/2014/chart" uri="{C3380CC4-5D6E-409C-BE32-E72D297353CC}">
              <c16:uniqueId val="{0000000E-541D-40EA-9BE1-67B3615E86C2}"/>
            </c:ext>
          </c:extLst>
        </c:ser>
        <c:dLbls>
          <c:showLegendKey val="0"/>
          <c:showVal val="0"/>
          <c:showCatName val="0"/>
          <c:showSerName val="0"/>
          <c:showPercent val="0"/>
          <c:showBubbleSize val="0"/>
        </c:dLbls>
        <c:gapWidth val="30"/>
        <c:axId val="265297168"/>
        <c:axId val="265297952"/>
      </c:barChart>
      <c:catAx>
        <c:axId val="265297168"/>
        <c:scaling>
          <c:orientation val="minMax"/>
        </c:scaling>
        <c:delete val="0"/>
        <c:axPos val="b"/>
        <c:numFmt formatCode="General" sourceLinked="1"/>
        <c:majorTickMark val="out"/>
        <c:minorTickMark val="none"/>
        <c:tickLblPos val="low"/>
        <c:spPr>
          <a:noFill/>
          <a:ln w="6350" cap="flat" cmpd="sng" algn="ctr">
            <a:solidFill>
              <a:schemeClr val="tx1"/>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Candara" panose="020E0502030303020204" pitchFamily="34" charset="0"/>
                <a:ea typeface="Arial"/>
                <a:cs typeface="Arial"/>
              </a:defRPr>
            </a:pPr>
            <a:endParaRPr lang="lv-LV"/>
          </a:p>
        </c:txPr>
        <c:crossAx val="265297952"/>
        <c:crosses val="autoZero"/>
        <c:auto val="1"/>
        <c:lblAlgn val="ctr"/>
        <c:lblOffset val="0"/>
        <c:tickLblSkip val="1"/>
        <c:noMultiLvlLbl val="1"/>
      </c:catAx>
      <c:valAx>
        <c:axId val="265297952"/>
        <c:scaling>
          <c:orientation val="minMax"/>
          <c:max val="6"/>
          <c:min val="-10"/>
        </c:scaling>
        <c:delete val="1"/>
        <c:axPos val="l"/>
        <c:numFmt formatCode="0" sourceLinked="0"/>
        <c:majorTickMark val="out"/>
        <c:minorTickMark val="none"/>
        <c:tickLblPos val="nextTo"/>
        <c:crossAx val="265297168"/>
        <c:crosses val="autoZero"/>
        <c:crossBetween val="between"/>
      </c:valAx>
      <c:spPr>
        <a:noFill/>
        <a:ln w="24758">
          <a:noFill/>
        </a:ln>
        <a:effectLst/>
      </c:spPr>
    </c:plotArea>
    <c:plotVisOnly val="1"/>
    <c:dispBlanksAs val="gap"/>
    <c:showDLblsOverMax val="0"/>
  </c:chart>
  <c:spPr>
    <a:noFill/>
    <a:ln w="6350" cap="flat" cmpd="sng" algn="ctr">
      <a:noFill/>
      <a:prstDash val="solid"/>
      <a:round/>
    </a:ln>
    <a:effectLst/>
  </c:spPr>
  <c:txPr>
    <a:bodyPr/>
    <a:lstStyle/>
    <a:p>
      <a:pPr>
        <a:defRPr sz="10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742839459478048E-2"/>
          <c:y val="3.0768033671667104E-2"/>
          <c:w val="0.96006821854691748"/>
          <c:h val="0.78933176133731942"/>
        </c:manualLayout>
      </c:layout>
      <c:barChart>
        <c:barDir val="col"/>
        <c:grouping val="clustered"/>
        <c:varyColors val="0"/>
        <c:ser>
          <c:idx val="0"/>
          <c:order val="0"/>
          <c:tx>
            <c:strRef>
              <c:f>Sheet1!$A$10</c:f>
              <c:strCache>
                <c:ptCount val="1"/>
                <c:pt idx="0">
                  <c:v>IKP</c:v>
                </c:pt>
              </c:strCache>
            </c:strRef>
          </c:tx>
          <c:spPr>
            <a:solidFill>
              <a:schemeClr val="tx2"/>
            </a:solidFill>
            <a:ln>
              <a:noFill/>
            </a:ln>
            <a:effectLst/>
          </c:spPr>
          <c:invertIfNegative val="0"/>
          <c:dPt>
            <c:idx val="0"/>
            <c:invertIfNegative val="0"/>
            <c:bubble3D val="0"/>
            <c:spPr>
              <a:solidFill>
                <a:schemeClr val="tx2"/>
              </a:solidFill>
              <a:ln>
                <a:noFill/>
              </a:ln>
              <a:effectLst/>
            </c:spPr>
            <c:extLst>
              <c:ext xmlns:c16="http://schemas.microsoft.com/office/drawing/2014/chart" uri="{C3380CC4-5D6E-409C-BE32-E72D297353CC}">
                <c16:uniqueId val="{00000001-0C7B-4F4A-9706-298E444F00CC}"/>
              </c:ext>
            </c:extLst>
          </c:dPt>
          <c:dPt>
            <c:idx val="1"/>
            <c:invertIfNegative val="0"/>
            <c:bubble3D val="0"/>
            <c:spPr>
              <a:solidFill>
                <a:schemeClr val="tx2"/>
              </a:solidFill>
              <a:ln>
                <a:noFill/>
              </a:ln>
              <a:effectLst/>
            </c:spPr>
            <c:extLst>
              <c:ext xmlns:c16="http://schemas.microsoft.com/office/drawing/2014/chart" uri="{C3380CC4-5D6E-409C-BE32-E72D297353CC}">
                <c16:uniqueId val="{00000003-0C7B-4F4A-9706-298E444F00CC}"/>
              </c:ext>
            </c:extLst>
          </c:dPt>
          <c:dPt>
            <c:idx val="2"/>
            <c:invertIfNegative val="0"/>
            <c:bubble3D val="0"/>
            <c:spPr>
              <a:solidFill>
                <a:schemeClr val="tx2"/>
              </a:solidFill>
              <a:ln>
                <a:noFill/>
              </a:ln>
              <a:effectLst/>
            </c:spPr>
            <c:extLst>
              <c:ext xmlns:c16="http://schemas.microsoft.com/office/drawing/2014/chart" uri="{C3380CC4-5D6E-409C-BE32-E72D297353CC}">
                <c16:uniqueId val="{00000005-0C7B-4F4A-9706-298E444F00CC}"/>
              </c:ext>
            </c:extLst>
          </c:dPt>
          <c:dPt>
            <c:idx val="3"/>
            <c:invertIfNegative val="0"/>
            <c:bubble3D val="0"/>
            <c:spPr>
              <a:solidFill>
                <a:schemeClr val="tx2"/>
              </a:solidFill>
              <a:ln>
                <a:noFill/>
              </a:ln>
              <a:effectLst/>
            </c:spPr>
            <c:extLst>
              <c:ext xmlns:c16="http://schemas.microsoft.com/office/drawing/2014/chart" uri="{C3380CC4-5D6E-409C-BE32-E72D297353CC}">
                <c16:uniqueId val="{00000007-0C7B-4F4A-9706-298E444F00CC}"/>
              </c:ext>
            </c:extLst>
          </c:dPt>
          <c:dPt>
            <c:idx val="12"/>
            <c:invertIfNegative val="0"/>
            <c:bubble3D val="0"/>
            <c:extLst>
              <c:ext xmlns:c16="http://schemas.microsoft.com/office/drawing/2014/chart" uri="{C3380CC4-5D6E-409C-BE32-E72D297353CC}">
                <c16:uniqueId val="{00000008-0C7B-4F4A-9706-298E444F00CC}"/>
              </c:ext>
            </c:extLst>
          </c:dPt>
          <c:dPt>
            <c:idx val="13"/>
            <c:invertIfNegative val="0"/>
            <c:bubble3D val="0"/>
            <c:extLst>
              <c:ext xmlns:c16="http://schemas.microsoft.com/office/drawing/2014/chart" uri="{C3380CC4-5D6E-409C-BE32-E72D297353CC}">
                <c16:uniqueId val="{00000009-0C7B-4F4A-9706-298E444F00CC}"/>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rgbClr val="000000"/>
                    </a:solidFill>
                    <a:latin typeface="Candara" panose="020E0502030303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Sheet1!$B$9:$E$9</c:f>
              <c:numCache>
                <c:formatCode>General</c:formatCode>
                <c:ptCount val="4"/>
                <c:pt idx="0">
                  <c:v>1</c:v>
                </c:pt>
                <c:pt idx="1">
                  <c:v>2</c:v>
                </c:pt>
                <c:pt idx="2">
                  <c:v>3</c:v>
                </c:pt>
                <c:pt idx="3">
                  <c:v>4</c:v>
                </c:pt>
              </c:numCache>
            </c:numRef>
          </c:cat>
          <c:val>
            <c:numRef>
              <c:f>Sheet1!$B$10:$E$10</c:f>
              <c:numCache>
                <c:formatCode>0.0</c:formatCode>
                <c:ptCount val="4"/>
                <c:pt idx="0">
                  <c:v>-1.5</c:v>
                </c:pt>
                <c:pt idx="1">
                  <c:v>-22</c:v>
                </c:pt>
                <c:pt idx="2">
                  <c:v>-9</c:v>
                </c:pt>
                <c:pt idx="3" formatCode="General">
                  <c:v>1.5</c:v>
                </c:pt>
              </c:numCache>
            </c:numRef>
          </c:val>
          <c:extLst>
            <c:ext xmlns:c16="http://schemas.microsoft.com/office/drawing/2014/chart" uri="{C3380CC4-5D6E-409C-BE32-E72D297353CC}">
              <c16:uniqueId val="{0000000A-0C7B-4F4A-9706-298E444F00CC}"/>
            </c:ext>
          </c:extLst>
        </c:ser>
        <c:dLbls>
          <c:showLegendKey val="0"/>
          <c:showVal val="0"/>
          <c:showCatName val="0"/>
          <c:showSerName val="0"/>
          <c:showPercent val="0"/>
          <c:showBubbleSize val="0"/>
        </c:dLbls>
        <c:gapWidth val="30"/>
        <c:axId val="265297168"/>
        <c:axId val="265297952"/>
      </c:barChart>
      <c:catAx>
        <c:axId val="265297168"/>
        <c:scaling>
          <c:orientation val="minMax"/>
        </c:scaling>
        <c:delete val="0"/>
        <c:axPos val="b"/>
        <c:numFmt formatCode="General" sourceLinked="1"/>
        <c:majorTickMark val="out"/>
        <c:minorTickMark val="none"/>
        <c:tickLblPos val="low"/>
        <c:spPr>
          <a:noFill/>
          <a:ln w="6350" cap="flat" cmpd="sng" algn="ctr">
            <a:solidFill>
              <a:schemeClr val="tx1"/>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Candara" panose="020E0502030303020204" pitchFamily="34" charset="0"/>
                <a:ea typeface="Arial"/>
                <a:cs typeface="Arial"/>
              </a:defRPr>
            </a:pPr>
            <a:endParaRPr lang="lv-LV"/>
          </a:p>
        </c:txPr>
        <c:crossAx val="265297952"/>
        <c:crosses val="autoZero"/>
        <c:auto val="1"/>
        <c:lblAlgn val="ctr"/>
        <c:lblOffset val="0"/>
        <c:tickLblSkip val="1"/>
        <c:noMultiLvlLbl val="1"/>
      </c:catAx>
      <c:valAx>
        <c:axId val="265297952"/>
        <c:scaling>
          <c:orientation val="minMax"/>
          <c:min val="-30"/>
        </c:scaling>
        <c:delete val="1"/>
        <c:axPos val="l"/>
        <c:numFmt formatCode="0" sourceLinked="0"/>
        <c:majorTickMark val="out"/>
        <c:minorTickMark val="none"/>
        <c:tickLblPos val="nextTo"/>
        <c:crossAx val="265297168"/>
        <c:crosses val="autoZero"/>
        <c:crossBetween val="between"/>
      </c:valAx>
      <c:spPr>
        <a:noFill/>
        <a:ln w="24758">
          <a:noFill/>
        </a:ln>
        <a:effectLst/>
      </c:spPr>
    </c:plotArea>
    <c:plotVisOnly val="1"/>
    <c:dispBlanksAs val="gap"/>
    <c:showDLblsOverMax val="0"/>
  </c:chart>
  <c:spPr>
    <a:noFill/>
    <a:ln w="6350" cap="flat" cmpd="sng" algn="ctr">
      <a:noFill/>
      <a:prstDash val="solid"/>
      <a:round/>
    </a:ln>
    <a:effectLst/>
  </c:spPr>
  <c:txPr>
    <a:bodyPr/>
    <a:lstStyle/>
    <a:p>
      <a:pPr>
        <a:defRPr sz="10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223384980103292"/>
          <c:y val="3.0768033671667104E-2"/>
          <c:w val="0.57020709508085687"/>
          <c:h val="0.81785226695453395"/>
        </c:manualLayout>
      </c:layout>
      <c:barChart>
        <c:barDir val="bar"/>
        <c:grouping val="clustered"/>
        <c:varyColors val="0"/>
        <c:ser>
          <c:idx val="0"/>
          <c:order val="0"/>
          <c:tx>
            <c:strRef>
              <c:f>Sheet1!$C$14</c:f>
              <c:strCache>
                <c:ptCount val="1"/>
                <c:pt idx="0">
                  <c:v>2019</c:v>
                </c:pt>
              </c:strCache>
            </c:strRef>
          </c:tx>
          <c:spPr>
            <a:solidFill>
              <a:schemeClr val="bg2">
                <a:lumMod val="75000"/>
              </a:schemeClr>
            </a:solidFill>
            <a:ln>
              <a:noFill/>
            </a:ln>
            <a:effectLst/>
          </c:spPr>
          <c:invertIfNegative val="0"/>
          <c:dPt>
            <c:idx val="12"/>
            <c:invertIfNegative val="0"/>
            <c:bubble3D val="0"/>
            <c:extLst>
              <c:ext xmlns:c16="http://schemas.microsoft.com/office/drawing/2014/chart" uri="{C3380CC4-5D6E-409C-BE32-E72D297353CC}">
                <c16:uniqueId val="{00000000-D4A1-43DB-8DD5-84A9EDF8C93F}"/>
              </c:ext>
            </c:extLst>
          </c:dPt>
          <c:dPt>
            <c:idx val="13"/>
            <c:invertIfNegative val="0"/>
            <c:bubble3D val="0"/>
            <c:extLst>
              <c:ext xmlns:c16="http://schemas.microsoft.com/office/drawing/2014/chart" uri="{C3380CC4-5D6E-409C-BE32-E72D297353CC}">
                <c16:uniqueId val="{00000001-D4A1-43DB-8DD5-84A9EDF8C93F}"/>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0000"/>
                    </a:solidFill>
                    <a:latin typeface="Candara" panose="020E0502030303020204" pitchFamily="34" charset="0"/>
                    <a:ea typeface="Arial"/>
                    <a:cs typeface="Arial"/>
                  </a:defRPr>
                </a:pPr>
                <a:endParaRPr lang="lv-LV"/>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Sheet1!$B$15:$B$19</c:f>
              <c:strCache>
                <c:ptCount val="5"/>
                <c:pt idx="0">
                  <c:v>Privātais patēriņš</c:v>
                </c:pt>
                <c:pt idx="1">
                  <c:v>Sabiedriskais patēriņš</c:v>
                </c:pt>
                <c:pt idx="2">
                  <c:v>Bruto pamatkapitāla veidošana</c:v>
                </c:pt>
                <c:pt idx="3">
                  <c:v>Eksports</c:v>
                </c:pt>
                <c:pt idx="4">
                  <c:v>Imports</c:v>
                </c:pt>
              </c:strCache>
            </c:strRef>
          </c:cat>
          <c:val>
            <c:numRef>
              <c:f>Sheet1!$C$15:$C$19</c:f>
              <c:numCache>
                <c:formatCode>General</c:formatCode>
                <c:ptCount val="5"/>
                <c:pt idx="0">
                  <c:v>18.181625999999998</c:v>
                </c:pt>
                <c:pt idx="1">
                  <c:v>5.5823929999999997</c:v>
                </c:pt>
                <c:pt idx="2">
                  <c:v>6.9660190000000002</c:v>
                </c:pt>
                <c:pt idx="3">
                  <c:v>18.256792000000001</c:v>
                </c:pt>
                <c:pt idx="4">
                  <c:v>18.239545999999997</c:v>
                </c:pt>
              </c:numCache>
            </c:numRef>
          </c:val>
          <c:extLst>
            <c:ext xmlns:c16="http://schemas.microsoft.com/office/drawing/2014/chart" uri="{C3380CC4-5D6E-409C-BE32-E72D297353CC}">
              <c16:uniqueId val="{00000002-D4A1-43DB-8DD5-84A9EDF8C93F}"/>
            </c:ext>
          </c:extLst>
        </c:ser>
        <c:ser>
          <c:idx val="1"/>
          <c:order val="1"/>
          <c:tx>
            <c:strRef>
              <c:f>Sheet1!$D$14</c:f>
              <c:strCache>
                <c:ptCount val="1"/>
                <c:pt idx="0">
                  <c:v>2020</c:v>
                </c:pt>
              </c:strCache>
            </c:strRef>
          </c:tx>
          <c:spPr>
            <a:solidFill>
              <a:schemeClr val="tx2"/>
            </a:solidFill>
            <a:ln>
              <a:noFill/>
            </a:ln>
            <a:effectLst/>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Candara" panose="020E0502030303020204" pitchFamily="34" charset="0"/>
                    <a:ea typeface="Arial"/>
                    <a:cs typeface="Arial"/>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Sheet1!$B$15:$B$19</c:f>
              <c:strCache>
                <c:ptCount val="5"/>
                <c:pt idx="0">
                  <c:v>Privātais patēriņš</c:v>
                </c:pt>
                <c:pt idx="1">
                  <c:v>Sabiedriskais patēriņš</c:v>
                </c:pt>
                <c:pt idx="2">
                  <c:v>Bruto pamatkapitāla veidošana</c:v>
                </c:pt>
                <c:pt idx="3">
                  <c:v>Eksports</c:v>
                </c:pt>
                <c:pt idx="4">
                  <c:v>Imports</c:v>
                </c:pt>
              </c:strCache>
            </c:strRef>
          </c:cat>
          <c:val>
            <c:numRef>
              <c:f>Sheet1!$D$15:$D$19</c:f>
              <c:numCache>
                <c:formatCode>General</c:formatCode>
                <c:ptCount val="5"/>
                <c:pt idx="0">
                  <c:v>17.146187499961062</c:v>
                </c:pt>
                <c:pt idx="1">
                  <c:v>5.8314895531023154</c:v>
                </c:pt>
                <c:pt idx="2">
                  <c:v>5.3786184477641177</c:v>
                </c:pt>
                <c:pt idx="3">
                  <c:v>15.865832553842358</c:v>
                </c:pt>
                <c:pt idx="4">
                  <c:v>15.976070201014798</c:v>
                </c:pt>
              </c:numCache>
            </c:numRef>
          </c:val>
          <c:extLst>
            <c:ext xmlns:c16="http://schemas.microsoft.com/office/drawing/2014/chart" uri="{C3380CC4-5D6E-409C-BE32-E72D297353CC}">
              <c16:uniqueId val="{00000003-D4A1-43DB-8DD5-84A9EDF8C93F}"/>
            </c:ext>
          </c:extLst>
        </c:ser>
        <c:dLbls>
          <c:showLegendKey val="0"/>
          <c:showVal val="0"/>
          <c:showCatName val="0"/>
          <c:showSerName val="0"/>
          <c:showPercent val="0"/>
          <c:showBubbleSize val="0"/>
        </c:dLbls>
        <c:gapWidth val="30"/>
        <c:axId val="265297168"/>
        <c:axId val="265297952"/>
      </c:barChart>
      <c:catAx>
        <c:axId val="265297168"/>
        <c:scaling>
          <c:orientation val="minMax"/>
        </c:scaling>
        <c:delete val="0"/>
        <c:axPos val="l"/>
        <c:numFmt formatCode="General" sourceLinked="1"/>
        <c:majorTickMark val="out"/>
        <c:minorTickMark val="none"/>
        <c:tickLblPos val="nextTo"/>
        <c:spPr>
          <a:noFill/>
          <a:ln w="6350" cap="flat" cmpd="sng" algn="ctr">
            <a:solidFill>
              <a:schemeClr val="tx1"/>
            </a:solidFill>
            <a:prstDash val="solid"/>
            <a:round/>
          </a:ln>
          <a:effectLst/>
        </c:spPr>
        <c:txPr>
          <a:bodyPr rot="0" spcFirstLastPara="1" vertOverflow="ellipsis" wrap="square" anchor="ctr" anchorCtr="1"/>
          <a:lstStyle/>
          <a:p>
            <a:pPr>
              <a:defRPr sz="900" b="0" i="0" u="none" strike="noStrike" kern="1200" baseline="0">
                <a:solidFill>
                  <a:srgbClr val="000000"/>
                </a:solidFill>
                <a:latin typeface="Candara" panose="020E0502030303020204" pitchFamily="34" charset="0"/>
                <a:ea typeface="Arial"/>
                <a:cs typeface="Arial"/>
              </a:defRPr>
            </a:pPr>
            <a:endParaRPr lang="lv-LV"/>
          </a:p>
        </c:txPr>
        <c:crossAx val="265297952"/>
        <c:crosses val="autoZero"/>
        <c:auto val="1"/>
        <c:lblAlgn val="ctr"/>
        <c:lblOffset val="0"/>
        <c:noMultiLvlLbl val="1"/>
      </c:catAx>
      <c:valAx>
        <c:axId val="265297952"/>
        <c:scaling>
          <c:orientation val="minMax"/>
          <c:max val="30"/>
        </c:scaling>
        <c:delete val="0"/>
        <c:axPos val="b"/>
        <c:numFmt formatCode="0"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0000"/>
                </a:solidFill>
                <a:latin typeface="Candara" panose="020E0502030303020204" pitchFamily="34" charset="0"/>
                <a:ea typeface="Arial"/>
                <a:cs typeface="Arial"/>
              </a:defRPr>
            </a:pPr>
            <a:endParaRPr lang="lv-LV"/>
          </a:p>
        </c:txPr>
        <c:crossAx val="265297168"/>
        <c:crosses val="autoZero"/>
        <c:crossBetween val="between"/>
      </c:valAx>
      <c:spPr>
        <a:noFill/>
        <a:ln w="24758">
          <a:noFill/>
        </a:ln>
        <a:effectLst/>
      </c:spPr>
    </c:plotArea>
    <c:legend>
      <c:legendPos val="r"/>
      <c:layout>
        <c:manualLayout>
          <c:xMode val="edge"/>
          <c:yMode val="edge"/>
          <c:x val="0.83431420299266712"/>
          <c:y val="0.40671691439639568"/>
          <c:w val="0.12788510972210951"/>
          <c:h val="0.20795598411161173"/>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Candara" panose="020E0502030303020204" pitchFamily="34" charset="0"/>
              <a:ea typeface="Arial"/>
              <a:cs typeface="Arial"/>
            </a:defRPr>
          </a:pPr>
          <a:endParaRPr lang="lv-LV"/>
        </a:p>
      </c:txPr>
    </c:legend>
    <c:plotVisOnly val="1"/>
    <c:dispBlanksAs val="gap"/>
    <c:showDLblsOverMax val="0"/>
  </c:chart>
  <c:spPr>
    <a:noFill/>
    <a:ln w="6350" cap="flat" cmpd="sng" algn="ctr">
      <a:noFill/>
      <a:prstDash val="solid"/>
      <a:round/>
    </a:ln>
    <a:effectLst/>
  </c:spPr>
  <c:txPr>
    <a:bodyPr/>
    <a:lstStyle/>
    <a:p>
      <a:pPr>
        <a:defRPr sz="10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742839459478048E-2"/>
          <c:y val="3.0768033671667104E-2"/>
          <c:w val="0.96006821854691748"/>
          <c:h val="0.78933176133731942"/>
        </c:manualLayout>
      </c:layout>
      <c:barChart>
        <c:barDir val="col"/>
        <c:grouping val="clustered"/>
        <c:varyColors val="0"/>
        <c:ser>
          <c:idx val="0"/>
          <c:order val="0"/>
          <c:spPr>
            <a:solidFill>
              <a:schemeClr val="tx2"/>
            </a:solidFill>
            <a:ln>
              <a:noFill/>
            </a:ln>
            <a:effectLst/>
          </c:spPr>
          <c:invertIfNegative val="0"/>
          <c:dPt>
            <c:idx val="12"/>
            <c:invertIfNegative val="0"/>
            <c:bubble3D val="0"/>
            <c:extLst>
              <c:ext xmlns:c16="http://schemas.microsoft.com/office/drawing/2014/chart" uri="{C3380CC4-5D6E-409C-BE32-E72D297353CC}">
                <c16:uniqueId val="{00000000-4160-4FCA-AA51-743695FCDF1E}"/>
              </c:ext>
            </c:extLst>
          </c:dPt>
          <c:dPt>
            <c:idx val="13"/>
            <c:invertIfNegative val="0"/>
            <c:bubble3D val="0"/>
            <c:extLst>
              <c:ext xmlns:c16="http://schemas.microsoft.com/office/drawing/2014/chart" uri="{C3380CC4-5D6E-409C-BE32-E72D297353CC}">
                <c16:uniqueId val="{00000001-4160-4FCA-AA51-743695FCDF1E}"/>
              </c:ext>
            </c:extLst>
          </c:dPt>
          <c:dLbls>
            <c:numFmt formatCode="#,##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000000"/>
                    </a:solidFill>
                    <a:latin typeface="Candara" panose="020E0502030303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Sheet1!$B$17:$B$31</c:f>
              <c:strCache>
                <c:ptCount val="15"/>
                <c:pt idx="0">
                  <c:v>Veselība un sociālā aprūpe</c:v>
                </c:pt>
                <c:pt idx="1">
                  <c:v>Izglītība</c:v>
                </c:pt>
                <c:pt idx="2">
                  <c:v>Valsts pārvalde</c:v>
                </c:pt>
                <c:pt idx="3">
                  <c:v>Informācijas un komunikācijas pakalpojumi</c:v>
                </c:pt>
                <c:pt idx="4">
                  <c:v>Operācijas ar nekustami īpašumu</c:v>
                </c:pt>
                <c:pt idx="5">
                  <c:v>Lauksaimniecība, mežsaimniecība, zvejniecība</c:v>
                </c:pt>
                <c:pt idx="6">
                  <c:v>Pārējā rūpniecība</c:v>
                </c:pt>
                <c:pt idx="7">
                  <c:v>Vairumtirdzniecība un mazumtirdzniecība</c:v>
                </c:pt>
                <c:pt idx="8">
                  <c:v>Finanšu un apdrošināšanas darbības</c:v>
                </c:pt>
                <c:pt idx="9">
                  <c:v>Būvniecība</c:v>
                </c:pt>
                <c:pt idx="10">
                  <c:v>Apstrādes rūpniecība</c:v>
                </c:pt>
                <c:pt idx="11">
                  <c:v>Transports un uzglabāšana</c:v>
                </c:pt>
                <c:pt idx="12">
                  <c:v>Komercpakalpojumi</c:v>
                </c:pt>
                <c:pt idx="13">
                  <c:v>Māksla, izklaide un atpūta</c:v>
                </c:pt>
                <c:pt idx="14">
                  <c:v>Izmitināšanas un ēdināšanas apkalpojumi</c:v>
                </c:pt>
              </c:strCache>
            </c:strRef>
          </c:cat>
          <c:val>
            <c:numRef>
              <c:f>Sheet1!$C$17:$C$31</c:f>
              <c:numCache>
                <c:formatCode>0.0</c:formatCode>
                <c:ptCount val="15"/>
                <c:pt idx="0">
                  <c:v>3.3757080802014485</c:v>
                </c:pt>
                <c:pt idx="1">
                  <c:v>1.1830359271336306</c:v>
                </c:pt>
                <c:pt idx="2">
                  <c:v>0.52305047017738104</c:v>
                </c:pt>
                <c:pt idx="3">
                  <c:v>-2.7069356509099123</c:v>
                </c:pt>
                <c:pt idx="4">
                  <c:v>-2.8632673893204981</c:v>
                </c:pt>
                <c:pt idx="5">
                  <c:v>-3.4131154575236451</c:v>
                </c:pt>
                <c:pt idx="6">
                  <c:v>-4.1901763880823069</c:v>
                </c:pt>
                <c:pt idx="7">
                  <c:v>-4.479592604774453</c:v>
                </c:pt>
                <c:pt idx="8">
                  <c:v>-4.5956518795900223</c:v>
                </c:pt>
                <c:pt idx="9">
                  <c:v>-6.556778506733707</c:v>
                </c:pt>
                <c:pt idx="10">
                  <c:v>-10.925602766481376</c:v>
                </c:pt>
                <c:pt idx="11">
                  <c:v>-18.707768923145494</c:v>
                </c:pt>
                <c:pt idx="12">
                  <c:v>-20.622722254160962</c:v>
                </c:pt>
                <c:pt idx="13">
                  <c:v>-32.167234692975654</c:v>
                </c:pt>
                <c:pt idx="14">
                  <c:v>-38.451442555645023</c:v>
                </c:pt>
              </c:numCache>
            </c:numRef>
          </c:val>
          <c:extLst>
            <c:ext xmlns:c16="http://schemas.microsoft.com/office/drawing/2014/chart" uri="{C3380CC4-5D6E-409C-BE32-E72D297353CC}">
              <c16:uniqueId val="{00000002-4160-4FCA-AA51-743695FCDF1E}"/>
            </c:ext>
          </c:extLst>
        </c:ser>
        <c:dLbls>
          <c:showLegendKey val="0"/>
          <c:showVal val="0"/>
          <c:showCatName val="0"/>
          <c:showSerName val="0"/>
          <c:showPercent val="0"/>
          <c:showBubbleSize val="0"/>
        </c:dLbls>
        <c:gapWidth val="30"/>
        <c:axId val="265297168"/>
        <c:axId val="265297952"/>
      </c:barChart>
      <c:lineChart>
        <c:grouping val="standard"/>
        <c:varyColors val="0"/>
        <c:ser>
          <c:idx val="1"/>
          <c:order val="1"/>
          <c:spPr>
            <a:ln w="19050" cap="rnd" cmpd="sng" algn="ctr">
              <a:solidFill>
                <a:schemeClr val="accent4"/>
              </a:solidFill>
              <a:prstDash val="solid"/>
              <a:round/>
            </a:ln>
            <a:effectLst/>
          </c:spPr>
          <c:marker>
            <c:symbol val="none"/>
          </c:marker>
          <c:cat>
            <c:strRef>
              <c:f>Sheet1!$B$17:$B$31</c:f>
              <c:strCache>
                <c:ptCount val="15"/>
                <c:pt idx="0">
                  <c:v>Veselība un sociālā aprūpe</c:v>
                </c:pt>
                <c:pt idx="1">
                  <c:v>Izglītība</c:v>
                </c:pt>
                <c:pt idx="2">
                  <c:v>Valsts pārvalde</c:v>
                </c:pt>
                <c:pt idx="3">
                  <c:v>Informācijas un komunikācijas pakalpojumi</c:v>
                </c:pt>
                <c:pt idx="4">
                  <c:v>Operācijas ar nekustami īpašumu</c:v>
                </c:pt>
                <c:pt idx="5">
                  <c:v>Lauksaimniecība, mežsaimniecība, zvejniecība</c:v>
                </c:pt>
                <c:pt idx="6">
                  <c:v>Pārējā rūpniecība</c:v>
                </c:pt>
                <c:pt idx="7">
                  <c:v>Vairumtirdzniecība un mazumtirdzniecība</c:v>
                </c:pt>
                <c:pt idx="8">
                  <c:v>Finanšu un apdrošināšanas darbības</c:v>
                </c:pt>
                <c:pt idx="9">
                  <c:v>Būvniecība</c:v>
                </c:pt>
                <c:pt idx="10">
                  <c:v>Apstrādes rūpniecība</c:v>
                </c:pt>
                <c:pt idx="11">
                  <c:v>Transports un uzglabāšana</c:v>
                </c:pt>
                <c:pt idx="12">
                  <c:v>Komercpakalpojumi</c:v>
                </c:pt>
                <c:pt idx="13">
                  <c:v>Māksla, izklaide un atpūta</c:v>
                </c:pt>
                <c:pt idx="14">
                  <c:v>Izmitināšanas un ēdināšanas apkalpojumi</c:v>
                </c:pt>
              </c:strCache>
            </c:strRef>
          </c:cat>
          <c:val>
            <c:numRef>
              <c:f>Sheet1!$D$17:$D$31</c:f>
              <c:numCache>
                <c:formatCode>0.0</c:formatCode>
                <c:ptCount val="15"/>
                <c:pt idx="0">
                  <c:v>-8</c:v>
                </c:pt>
                <c:pt idx="1">
                  <c:v>-8</c:v>
                </c:pt>
                <c:pt idx="2">
                  <c:v>-8</c:v>
                </c:pt>
                <c:pt idx="3">
                  <c:v>-8</c:v>
                </c:pt>
                <c:pt idx="4">
                  <c:v>-8</c:v>
                </c:pt>
                <c:pt idx="5">
                  <c:v>-8</c:v>
                </c:pt>
                <c:pt idx="6">
                  <c:v>-8</c:v>
                </c:pt>
                <c:pt idx="7">
                  <c:v>-8</c:v>
                </c:pt>
                <c:pt idx="8">
                  <c:v>-8</c:v>
                </c:pt>
                <c:pt idx="9">
                  <c:v>-8</c:v>
                </c:pt>
                <c:pt idx="10">
                  <c:v>-8</c:v>
                </c:pt>
                <c:pt idx="11">
                  <c:v>-8</c:v>
                </c:pt>
                <c:pt idx="12">
                  <c:v>-8</c:v>
                </c:pt>
                <c:pt idx="13">
                  <c:v>-8</c:v>
                </c:pt>
                <c:pt idx="14">
                  <c:v>-8</c:v>
                </c:pt>
              </c:numCache>
            </c:numRef>
          </c:val>
          <c:smooth val="0"/>
          <c:extLst>
            <c:ext xmlns:c16="http://schemas.microsoft.com/office/drawing/2014/chart" uri="{C3380CC4-5D6E-409C-BE32-E72D297353CC}">
              <c16:uniqueId val="{00000003-4160-4FCA-AA51-743695FCDF1E}"/>
            </c:ext>
          </c:extLst>
        </c:ser>
        <c:dLbls>
          <c:showLegendKey val="0"/>
          <c:showVal val="0"/>
          <c:showCatName val="0"/>
          <c:showSerName val="0"/>
          <c:showPercent val="0"/>
          <c:showBubbleSize val="0"/>
        </c:dLbls>
        <c:marker val="1"/>
        <c:smooth val="0"/>
        <c:axId val="265297168"/>
        <c:axId val="265297952"/>
      </c:lineChart>
      <c:catAx>
        <c:axId val="265297168"/>
        <c:scaling>
          <c:orientation val="minMax"/>
        </c:scaling>
        <c:delete val="0"/>
        <c:axPos val="b"/>
        <c:numFmt formatCode="General" sourceLinked="1"/>
        <c:majorTickMark val="out"/>
        <c:minorTickMark val="none"/>
        <c:tickLblPos val="low"/>
        <c:spPr>
          <a:noFill/>
          <a:ln w="6350" cap="flat" cmpd="sng" algn="ctr">
            <a:solidFill>
              <a:schemeClr val="tx1"/>
            </a:solidFill>
            <a:prstDash val="solid"/>
            <a:round/>
          </a:ln>
          <a:effectLst/>
        </c:spPr>
        <c:txPr>
          <a:bodyPr rot="-5400000" spcFirstLastPara="1" vertOverflow="ellipsis" wrap="square" anchor="t" anchorCtr="0"/>
          <a:lstStyle/>
          <a:p>
            <a:pPr>
              <a:defRPr sz="800" b="0" i="0" u="none" strike="noStrike" kern="1200" baseline="0">
                <a:solidFill>
                  <a:srgbClr val="000000"/>
                </a:solidFill>
                <a:latin typeface="Candara" panose="020E0502030303020204" pitchFamily="34" charset="0"/>
                <a:ea typeface="Arial"/>
                <a:cs typeface="Arial"/>
              </a:defRPr>
            </a:pPr>
            <a:endParaRPr lang="lv-LV"/>
          </a:p>
        </c:txPr>
        <c:crossAx val="265297952"/>
        <c:crosses val="autoZero"/>
        <c:auto val="1"/>
        <c:lblAlgn val="ctr"/>
        <c:lblOffset val="0"/>
        <c:tickLblSkip val="1"/>
        <c:noMultiLvlLbl val="1"/>
      </c:catAx>
      <c:valAx>
        <c:axId val="265297952"/>
        <c:scaling>
          <c:orientation val="minMax"/>
        </c:scaling>
        <c:delete val="1"/>
        <c:axPos val="l"/>
        <c:numFmt formatCode="0" sourceLinked="0"/>
        <c:majorTickMark val="out"/>
        <c:minorTickMark val="none"/>
        <c:tickLblPos val="nextTo"/>
        <c:crossAx val="265297168"/>
        <c:crosses val="autoZero"/>
        <c:crossBetween val="between"/>
      </c:valAx>
      <c:spPr>
        <a:noFill/>
        <a:ln w="24758">
          <a:noFill/>
        </a:ln>
        <a:effectLst/>
      </c:spPr>
    </c:plotArea>
    <c:plotVisOnly val="1"/>
    <c:dispBlanksAs val="gap"/>
    <c:showDLblsOverMax val="0"/>
  </c:chart>
  <c:spPr>
    <a:noFill/>
    <a:ln w="6350" cap="flat" cmpd="sng" algn="ctr">
      <a:noFill/>
      <a:prstDash val="solid"/>
      <a:round/>
    </a:ln>
    <a:effectLst/>
  </c:spPr>
  <c:txPr>
    <a:bodyPr/>
    <a:lstStyle/>
    <a:p>
      <a:pPr>
        <a:defRPr sz="10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4729890286278E-2"/>
          <c:y val="4.8751528429688648E-2"/>
          <c:w val="0.8972743791641431"/>
          <c:h val="0.79019176174406769"/>
        </c:manualLayout>
      </c:layout>
      <c:barChart>
        <c:barDir val="col"/>
        <c:grouping val="clustered"/>
        <c:varyColors val="0"/>
        <c:ser>
          <c:idx val="9"/>
          <c:order val="0"/>
          <c:tx>
            <c:strRef>
              <c:f>Sheet1!$A$2</c:f>
              <c:strCache>
                <c:ptCount val="1"/>
                <c:pt idx="0">
                  <c:v>Pirms koronavīrusa bāzes scenārijs</c:v>
                </c:pt>
              </c:strCache>
            </c:strRef>
          </c:tx>
          <c:spPr>
            <a:solidFill>
              <a:schemeClr val="bg1">
                <a:lumMod val="65000"/>
              </a:schemeClr>
            </a:solidFill>
            <a:ln>
              <a:solidFill>
                <a:schemeClr val="bg1">
                  <a:lumMod val="85000"/>
                </a:schemeClr>
              </a:solidFill>
            </a:ln>
            <a:effectLst/>
          </c:spPr>
          <c:invertIfNegative val="0"/>
          <c:dPt>
            <c:idx val="4"/>
            <c:invertIfNegative val="0"/>
            <c:bubble3D val="0"/>
            <c:spPr>
              <a:solidFill>
                <a:schemeClr val="tx1">
                  <a:lumMod val="50000"/>
                  <a:lumOff val="50000"/>
                </a:schemeClr>
              </a:solidFill>
              <a:ln>
                <a:solidFill>
                  <a:schemeClr val="bg1">
                    <a:lumMod val="85000"/>
                  </a:schemeClr>
                </a:solidFill>
              </a:ln>
              <a:effectLst/>
            </c:spPr>
            <c:extLst>
              <c:ext xmlns:c16="http://schemas.microsoft.com/office/drawing/2014/chart" uri="{C3380CC4-5D6E-409C-BE32-E72D297353CC}">
                <c16:uniqueId val="{00000001-5130-4B1B-944B-074361A1861F}"/>
              </c:ext>
            </c:extLst>
          </c:dPt>
          <c:dPt>
            <c:idx val="5"/>
            <c:invertIfNegative val="0"/>
            <c:bubble3D val="0"/>
            <c:spPr>
              <a:solidFill>
                <a:schemeClr val="tx2">
                  <a:lumMod val="60000"/>
                  <a:lumOff val="40000"/>
                </a:schemeClr>
              </a:solidFill>
              <a:ln>
                <a:solidFill>
                  <a:schemeClr val="bg1">
                    <a:lumMod val="85000"/>
                  </a:schemeClr>
                </a:solidFill>
              </a:ln>
              <a:effectLst/>
            </c:spPr>
            <c:extLst>
              <c:ext xmlns:c16="http://schemas.microsoft.com/office/drawing/2014/chart" uri="{C3380CC4-5D6E-409C-BE32-E72D297353CC}">
                <c16:uniqueId val="{00000003-5130-4B1B-944B-074361A1861F}"/>
              </c:ext>
            </c:extLst>
          </c:dPt>
          <c:dPt>
            <c:idx val="6"/>
            <c:invertIfNegative val="0"/>
            <c:bubble3D val="0"/>
            <c:spPr>
              <a:solidFill>
                <a:schemeClr val="tx2"/>
              </a:solidFill>
              <a:ln>
                <a:solidFill>
                  <a:schemeClr val="bg1">
                    <a:lumMod val="85000"/>
                  </a:schemeClr>
                </a:solidFill>
              </a:ln>
              <a:effectLst/>
            </c:spPr>
            <c:extLst>
              <c:ext xmlns:c16="http://schemas.microsoft.com/office/drawing/2014/chart" uri="{C3380CC4-5D6E-409C-BE32-E72D297353CC}">
                <c16:uniqueId val="{00000005-5130-4B1B-944B-074361A1861F}"/>
              </c:ext>
            </c:extLst>
          </c:dPt>
          <c:dLbls>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Candara" panose="020E0502030303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Sheet1!$B$1:$H$1</c:f>
              <c:numCache>
                <c:formatCode>0</c:formatCode>
                <c:ptCount val="7"/>
                <c:pt idx="0">
                  <c:v>2016</c:v>
                </c:pt>
                <c:pt idx="1">
                  <c:v>2017</c:v>
                </c:pt>
                <c:pt idx="2">
                  <c:v>2018</c:v>
                </c:pt>
                <c:pt idx="3">
                  <c:v>2019</c:v>
                </c:pt>
                <c:pt idx="4">
                  <c:v>2020</c:v>
                </c:pt>
                <c:pt idx="5">
                  <c:v>2020</c:v>
                </c:pt>
                <c:pt idx="6">
                  <c:v>2020</c:v>
                </c:pt>
              </c:numCache>
            </c:numRef>
          </c:cat>
          <c:val>
            <c:numRef>
              <c:f>Sheet1!$B$2:$H$2</c:f>
              <c:numCache>
                <c:formatCode>0</c:formatCode>
                <c:ptCount val="7"/>
                <c:pt idx="0">
                  <c:v>893.3</c:v>
                </c:pt>
                <c:pt idx="1">
                  <c:v>894.8</c:v>
                </c:pt>
                <c:pt idx="2">
                  <c:v>909.4</c:v>
                </c:pt>
                <c:pt idx="3">
                  <c:v>910</c:v>
                </c:pt>
                <c:pt idx="4">
                  <c:v>908.47296599999993</c:v>
                </c:pt>
                <c:pt idx="5">
                  <c:v>867.24905999999999</c:v>
                </c:pt>
                <c:pt idx="6">
                  <c:v>841.76850000000002</c:v>
                </c:pt>
              </c:numCache>
            </c:numRef>
          </c:val>
          <c:extLst>
            <c:ext xmlns:c16="http://schemas.microsoft.com/office/drawing/2014/chart" uri="{C3380CC4-5D6E-409C-BE32-E72D297353CC}">
              <c16:uniqueId val="{00000006-5130-4B1B-944B-074361A1861F}"/>
            </c:ext>
          </c:extLst>
        </c:ser>
        <c:dLbls>
          <c:showLegendKey val="0"/>
          <c:showVal val="0"/>
          <c:showCatName val="0"/>
          <c:showSerName val="0"/>
          <c:showPercent val="0"/>
          <c:showBubbleSize val="0"/>
        </c:dLbls>
        <c:gapWidth val="30"/>
        <c:axId val="274520384"/>
        <c:axId val="278072192"/>
      </c:barChart>
      <c:catAx>
        <c:axId val="274520384"/>
        <c:scaling>
          <c:orientation val="minMax"/>
        </c:scaling>
        <c:delete val="0"/>
        <c:axPos val="b"/>
        <c:numFmt formatCode="0" sourceLinked="1"/>
        <c:majorTickMark val="none"/>
        <c:minorTickMark val="none"/>
        <c:tickLblPos val="low"/>
        <c:spPr>
          <a:noFill/>
          <a:ln w="3175"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ndara" panose="020E0502030303020204" pitchFamily="34" charset="0"/>
                <a:ea typeface="Arial"/>
                <a:cs typeface="Arial"/>
              </a:defRPr>
            </a:pPr>
            <a:endParaRPr lang="lv-LV"/>
          </a:p>
        </c:txPr>
        <c:crossAx val="278072192"/>
        <c:crosses val="autoZero"/>
        <c:auto val="0"/>
        <c:lblAlgn val="ctr"/>
        <c:lblOffset val="100"/>
        <c:tickLblSkip val="1"/>
        <c:noMultiLvlLbl val="0"/>
      </c:catAx>
      <c:valAx>
        <c:axId val="278072192"/>
        <c:scaling>
          <c:orientation val="minMax"/>
          <c:max val="930"/>
          <c:min val="800"/>
        </c:scaling>
        <c:delete val="1"/>
        <c:axPos val="l"/>
        <c:numFmt formatCode="0" sourceLinked="0"/>
        <c:majorTickMark val="out"/>
        <c:minorTickMark val="none"/>
        <c:tickLblPos val="nextTo"/>
        <c:crossAx val="274520384"/>
        <c:crosses val="autoZero"/>
        <c:crossBetween val="between"/>
        <c:majorUnit val="2"/>
      </c:valAx>
      <c:spPr>
        <a:noFill/>
        <a:ln w="24631">
          <a:noFill/>
        </a:ln>
        <a:effectLst/>
      </c:spPr>
    </c:plotArea>
    <c:plotVisOnly val="1"/>
    <c:dispBlanksAs val="gap"/>
    <c:showDLblsOverMax val="0"/>
  </c:chart>
  <c:spPr>
    <a:noFill/>
    <a:ln w="6350" cap="flat" cmpd="sng" algn="ctr">
      <a:noFill/>
      <a:prstDash val="solid"/>
      <a:round/>
    </a:ln>
    <a:effectLst/>
  </c:spPr>
  <c:txPr>
    <a:bodyPr/>
    <a:lstStyle/>
    <a:p>
      <a:pPr>
        <a:defRPr sz="10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4729890286278E-2"/>
          <c:y val="4.8751528429688648E-2"/>
          <c:w val="0.90682235282882917"/>
          <c:h val="0.7996014783866302"/>
        </c:manualLayout>
      </c:layout>
      <c:barChart>
        <c:barDir val="col"/>
        <c:grouping val="clustered"/>
        <c:varyColors val="0"/>
        <c:ser>
          <c:idx val="9"/>
          <c:order val="0"/>
          <c:tx>
            <c:strRef>
              <c:f>Sheet1!$A$2</c:f>
              <c:strCache>
                <c:ptCount val="1"/>
                <c:pt idx="0">
                  <c:v>Pirms koronavīrusa bāzes scenārijs</c:v>
                </c:pt>
              </c:strCache>
            </c:strRef>
          </c:tx>
          <c:spPr>
            <a:solidFill>
              <a:schemeClr val="bg1">
                <a:lumMod val="65000"/>
              </a:schemeClr>
            </a:solidFill>
            <a:ln>
              <a:solidFill>
                <a:schemeClr val="bg1">
                  <a:lumMod val="85000"/>
                </a:schemeClr>
              </a:solidFill>
            </a:ln>
            <a:effectLst/>
          </c:spPr>
          <c:invertIfNegative val="0"/>
          <c:dPt>
            <c:idx val="4"/>
            <c:invertIfNegative val="0"/>
            <c:bubble3D val="0"/>
            <c:spPr>
              <a:solidFill>
                <a:schemeClr val="tx1">
                  <a:lumMod val="50000"/>
                  <a:lumOff val="50000"/>
                </a:schemeClr>
              </a:solidFill>
              <a:ln>
                <a:solidFill>
                  <a:schemeClr val="bg1">
                    <a:lumMod val="85000"/>
                  </a:schemeClr>
                </a:solidFill>
              </a:ln>
              <a:effectLst/>
            </c:spPr>
            <c:extLst>
              <c:ext xmlns:c16="http://schemas.microsoft.com/office/drawing/2014/chart" uri="{C3380CC4-5D6E-409C-BE32-E72D297353CC}">
                <c16:uniqueId val="{00000001-B5EA-4FC7-B3F6-97C3AD691DD1}"/>
              </c:ext>
            </c:extLst>
          </c:dPt>
          <c:dPt>
            <c:idx val="5"/>
            <c:invertIfNegative val="0"/>
            <c:bubble3D val="0"/>
            <c:spPr>
              <a:solidFill>
                <a:schemeClr val="tx2">
                  <a:lumMod val="60000"/>
                  <a:lumOff val="40000"/>
                </a:schemeClr>
              </a:solidFill>
              <a:ln>
                <a:solidFill>
                  <a:schemeClr val="bg1">
                    <a:lumMod val="85000"/>
                  </a:schemeClr>
                </a:solidFill>
              </a:ln>
              <a:effectLst/>
            </c:spPr>
            <c:extLst>
              <c:ext xmlns:c16="http://schemas.microsoft.com/office/drawing/2014/chart" uri="{C3380CC4-5D6E-409C-BE32-E72D297353CC}">
                <c16:uniqueId val="{00000003-B5EA-4FC7-B3F6-97C3AD691DD1}"/>
              </c:ext>
            </c:extLst>
          </c:dPt>
          <c:dPt>
            <c:idx val="6"/>
            <c:invertIfNegative val="0"/>
            <c:bubble3D val="0"/>
            <c:spPr>
              <a:solidFill>
                <a:schemeClr val="tx2"/>
              </a:solidFill>
              <a:ln>
                <a:solidFill>
                  <a:schemeClr val="bg1">
                    <a:lumMod val="85000"/>
                  </a:schemeClr>
                </a:solidFill>
              </a:ln>
              <a:effectLst/>
            </c:spPr>
            <c:extLst>
              <c:ext xmlns:c16="http://schemas.microsoft.com/office/drawing/2014/chart" uri="{C3380CC4-5D6E-409C-BE32-E72D297353CC}">
                <c16:uniqueId val="{00000005-B5EA-4FC7-B3F6-97C3AD691DD1}"/>
              </c:ext>
            </c:extLst>
          </c:dPt>
          <c:dLbls>
            <c:spPr>
              <a:noFill/>
              <a:ln>
                <a:noFill/>
              </a:ln>
              <a:effectLst/>
            </c:spPr>
            <c:txPr>
              <a:bodyPr rot="0" spcFirstLastPara="1" vertOverflow="ellipsis" vert="horz" wrap="square" anchor="ctr" anchorCtr="1"/>
              <a:lstStyle/>
              <a:p>
                <a:pPr>
                  <a:defRPr sz="1000" b="0" i="0" u="none" strike="noStrike" kern="1200" baseline="0">
                    <a:solidFill>
                      <a:srgbClr val="000000"/>
                    </a:solidFill>
                    <a:latin typeface="Candara" panose="020E0502030303020204" pitchFamily="34" charset="0"/>
                    <a:ea typeface="Arial"/>
                    <a:cs typeface="Arial"/>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numRef>
              <c:f>Sheet1!$B$1:$H$1</c:f>
              <c:numCache>
                <c:formatCode>0</c:formatCode>
                <c:ptCount val="7"/>
                <c:pt idx="0">
                  <c:v>2016</c:v>
                </c:pt>
                <c:pt idx="1">
                  <c:v>2017</c:v>
                </c:pt>
                <c:pt idx="2">
                  <c:v>2018</c:v>
                </c:pt>
                <c:pt idx="3">
                  <c:v>2019</c:v>
                </c:pt>
                <c:pt idx="4">
                  <c:v>2020</c:v>
                </c:pt>
                <c:pt idx="5">
                  <c:v>2020</c:v>
                </c:pt>
                <c:pt idx="6">
                  <c:v>2020</c:v>
                </c:pt>
              </c:numCache>
            </c:numRef>
          </c:cat>
          <c:val>
            <c:numRef>
              <c:f>Sheet1!$B$2:$H$2</c:f>
              <c:numCache>
                <c:formatCode>0.0</c:formatCode>
                <c:ptCount val="7"/>
                <c:pt idx="0">
                  <c:v>9.6</c:v>
                </c:pt>
                <c:pt idx="1">
                  <c:v>8.6999999999999993</c:v>
                </c:pt>
                <c:pt idx="2">
                  <c:v>7.4</c:v>
                </c:pt>
                <c:pt idx="3">
                  <c:v>6.3</c:v>
                </c:pt>
                <c:pt idx="4">
                  <c:v>5.9926660926825983</c:v>
                </c:pt>
                <c:pt idx="5">
                  <c:v>10.258450151584203</c:v>
                </c:pt>
                <c:pt idx="6">
                  <c:v>11.858165527534322</c:v>
                </c:pt>
              </c:numCache>
            </c:numRef>
          </c:val>
          <c:extLst>
            <c:ext xmlns:c16="http://schemas.microsoft.com/office/drawing/2014/chart" uri="{C3380CC4-5D6E-409C-BE32-E72D297353CC}">
              <c16:uniqueId val="{00000006-B5EA-4FC7-B3F6-97C3AD691DD1}"/>
            </c:ext>
          </c:extLst>
        </c:ser>
        <c:dLbls>
          <c:showLegendKey val="0"/>
          <c:showVal val="0"/>
          <c:showCatName val="0"/>
          <c:showSerName val="0"/>
          <c:showPercent val="0"/>
          <c:showBubbleSize val="0"/>
        </c:dLbls>
        <c:gapWidth val="30"/>
        <c:axId val="274520384"/>
        <c:axId val="278072192"/>
      </c:barChart>
      <c:catAx>
        <c:axId val="274520384"/>
        <c:scaling>
          <c:orientation val="minMax"/>
        </c:scaling>
        <c:delete val="0"/>
        <c:axPos val="b"/>
        <c:numFmt formatCode="0" sourceLinked="1"/>
        <c:majorTickMark val="none"/>
        <c:minorTickMark val="none"/>
        <c:tickLblPos val="low"/>
        <c:spPr>
          <a:noFill/>
          <a:ln w="3175" cap="flat" cmpd="sng" algn="ctr">
            <a:solidFill>
              <a:schemeClr val="tx1">
                <a:tint val="75000"/>
              </a:schemeClr>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Candara" panose="020E0502030303020204" pitchFamily="34" charset="0"/>
                <a:ea typeface="Arial"/>
                <a:cs typeface="Arial"/>
              </a:defRPr>
            </a:pPr>
            <a:endParaRPr lang="lv-LV"/>
          </a:p>
        </c:txPr>
        <c:crossAx val="278072192"/>
        <c:crosses val="autoZero"/>
        <c:auto val="0"/>
        <c:lblAlgn val="ctr"/>
        <c:lblOffset val="100"/>
        <c:tickLblSkip val="1"/>
        <c:noMultiLvlLbl val="0"/>
      </c:catAx>
      <c:valAx>
        <c:axId val="278072192"/>
        <c:scaling>
          <c:orientation val="minMax"/>
        </c:scaling>
        <c:delete val="1"/>
        <c:axPos val="l"/>
        <c:numFmt formatCode="0" sourceLinked="0"/>
        <c:majorTickMark val="out"/>
        <c:minorTickMark val="none"/>
        <c:tickLblPos val="nextTo"/>
        <c:crossAx val="274520384"/>
        <c:crosses val="autoZero"/>
        <c:crossBetween val="between"/>
      </c:valAx>
      <c:spPr>
        <a:noFill/>
        <a:ln w="24631">
          <a:noFill/>
        </a:ln>
        <a:effectLst/>
      </c:spPr>
    </c:plotArea>
    <c:plotVisOnly val="1"/>
    <c:dispBlanksAs val="gap"/>
    <c:showDLblsOverMax val="0"/>
  </c:chart>
  <c:spPr>
    <a:noFill/>
    <a:ln w="6350" cap="flat" cmpd="sng" algn="ctr">
      <a:noFill/>
      <a:prstDash val="solid"/>
      <a:round/>
    </a:ln>
    <a:effectLst/>
  </c:spPr>
  <c:txPr>
    <a:bodyPr/>
    <a:lstStyle/>
    <a:p>
      <a:pPr>
        <a:defRPr sz="1000" b="0" i="0" u="none" strike="noStrike" baseline="0">
          <a:solidFill>
            <a:srgbClr val="000000"/>
          </a:solidFill>
          <a:latin typeface="Candara" panose="020E0502030303020204" pitchFamily="34" charset="0"/>
          <a:ea typeface="Arial"/>
          <a:cs typeface="Arial"/>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185556261020298E-2"/>
          <c:y val="0.11555948871319995"/>
          <c:w val="0.92788445604633973"/>
          <c:h val="0.6765459380678378"/>
        </c:manualLayout>
      </c:layout>
      <c:lineChart>
        <c:grouping val="standard"/>
        <c:varyColors val="0"/>
        <c:ser>
          <c:idx val="0"/>
          <c:order val="0"/>
          <c:tx>
            <c:strRef>
              <c:f>'C'!$AM$5</c:f>
              <c:strCache>
                <c:ptCount val="1"/>
                <c:pt idx="0">
                  <c:v>IKP dinamika</c:v>
                </c:pt>
              </c:strCache>
            </c:strRef>
          </c:tx>
          <c:spPr>
            <a:ln w="50800" cap="rnd">
              <a:solidFill>
                <a:schemeClr val="accent1"/>
              </a:solidFill>
              <a:round/>
            </a:ln>
            <a:effectLst/>
          </c:spPr>
          <c:marker>
            <c:symbol val="none"/>
          </c:marker>
          <c:dPt>
            <c:idx val="10"/>
            <c:marker>
              <c:symbol val="none"/>
            </c:marker>
            <c:bubble3D val="0"/>
            <c:spPr>
              <a:ln w="50800" cap="rnd">
                <a:solidFill>
                  <a:schemeClr val="accent2"/>
                </a:solidFill>
                <a:round/>
              </a:ln>
              <a:effectLst/>
            </c:spPr>
            <c:extLst>
              <c:ext xmlns:c16="http://schemas.microsoft.com/office/drawing/2014/chart" uri="{C3380CC4-5D6E-409C-BE32-E72D297353CC}">
                <c16:uniqueId val="{00000001-19C8-4A13-88D2-67DB62CB025A}"/>
              </c:ext>
            </c:extLst>
          </c:dPt>
          <c:dPt>
            <c:idx val="11"/>
            <c:marker>
              <c:symbol val="none"/>
            </c:marker>
            <c:bubble3D val="0"/>
            <c:spPr>
              <a:ln w="50800" cap="rnd">
                <a:solidFill>
                  <a:schemeClr val="accent2"/>
                </a:solidFill>
                <a:round/>
              </a:ln>
              <a:effectLst/>
            </c:spPr>
            <c:extLst>
              <c:ext xmlns:c16="http://schemas.microsoft.com/office/drawing/2014/chart" uri="{C3380CC4-5D6E-409C-BE32-E72D297353CC}">
                <c16:uniqueId val="{00000003-19C8-4A13-88D2-67DB62CB025A}"/>
              </c:ext>
            </c:extLst>
          </c:dPt>
          <c:cat>
            <c:numRef>
              <c:f>'C'!$AW$2:$BN$2</c:f>
              <c:numCache>
                <c:formatCode>General</c:formatCode>
                <c:ptCount val="18"/>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numCache>
            </c:numRef>
          </c:cat>
          <c:val>
            <c:numRef>
              <c:f>'C'!$AW$5:$BN$5</c:f>
              <c:numCache>
                <c:formatCode>0</c:formatCode>
                <c:ptCount val="18"/>
                <c:pt idx="0">
                  <c:v>20493.588</c:v>
                </c:pt>
                <c:pt idx="1">
                  <c:v>21781.632999999998</c:v>
                </c:pt>
                <c:pt idx="2">
                  <c:v>22682.134000000002</c:v>
                </c:pt>
                <c:pt idx="3">
                  <c:v>23210.174999999999</c:v>
                </c:pt>
                <c:pt idx="4">
                  <c:v>23654.694</c:v>
                </c:pt>
                <c:pt idx="5">
                  <c:v>24425.960999999999</c:v>
                </c:pt>
                <c:pt idx="6">
                  <c:v>24859.227999999999</c:v>
                </c:pt>
                <c:pt idx="7">
                  <c:v>25800.726000000002</c:v>
                </c:pt>
                <c:pt idx="8">
                  <c:v>26906.241999999998</c:v>
                </c:pt>
                <c:pt idx="9">
                  <c:v>27497.491000000002</c:v>
                </c:pt>
                <c:pt idx="10">
                  <c:v>25302.817274106961</c:v>
                </c:pt>
                <c:pt idx="11">
                  <c:v>27022.95525414047</c:v>
                </c:pt>
              </c:numCache>
            </c:numRef>
          </c:val>
          <c:smooth val="0"/>
          <c:extLst>
            <c:ext xmlns:c16="http://schemas.microsoft.com/office/drawing/2014/chart" uri="{C3380CC4-5D6E-409C-BE32-E72D297353CC}">
              <c16:uniqueId val="{00000004-19C8-4A13-88D2-67DB62CB025A}"/>
            </c:ext>
          </c:extLst>
        </c:ser>
        <c:ser>
          <c:idx val="1"/>
          <c:order val="1"/>
          <c:tx>
            <c:strRef>
              <c:f>'C'!$AM$6</c:f>
              <c:strCache>
                <c:ptCount val="1"/>
                <c:pt idx="0">
                  <c:v>U veida scenārijs, atgriešanās pie iepriekšējiem izaugsmes tempiem</c:v>
                </c:pt>
              </c:strCache>
            </c:strRef>
          </c:tx>
          <c:spPr>
            <a:ln w="50800" cap="rnd">
              <a:solidFill>
                <a:schemeClr val="accent2"/>
              </a:solidFill>
              <a:round/>
            </a:ln>
            <a:effectLst/>
          </c:spPr>
          <c:marker>
            <c:symbol val="none"/>
          </c:marker>
          <c:cat>
            <c:numRef>
              <c:f>'C'!$AW$2:$BN$2</c:f>
              <c:numCache>
                <c:formatCode>General</c:formatCode>
                <c:ptCount val="18"/>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numCache>
            </c:numRef>
          </c:cat>
          <c:val>
            <c:numRef>
              <c:f>'C'!$AW$6:$BN$6</c:f>
              <c:numCache>
                <c:formatCode>General</c:formatCode>
                <c:ptCount val="18"/>
                <c:pt idx="11" formatCode="0">
                  <c:v>27022.95525414047</c:v>
                </c:pt>
                <c:pt idx="12" formatCode="0">
                  <c:v>28049.827553797808</c:v>
                </c:pt>
                <c:pt idx="13" formatCode="0">
                  <c:v>28947.422035519339</c:v>
                </c:pt>
                <c:pt idx="14" formatCode="0">
                  <c:v>29757.949852513881</c:v>
                </c:pt>
                <c:pt idx="15" formatCode="0">
                  <c:v>30531.656548679242</c:v>
                </c:pt>
                <c:pt idx="16" formatCode="0">
                  <c:v>31264.416305847546</c:v>
                </c:pt>
                <c:pt idx="17" formatCode="0">
                  <c:v>31952.233464576191</c:v>
                </c:pt>
              </c:numCache>
            </c:numRef>
          </c:val>
          <c:smooth val="0"/>
          <c:extLst>
            <c:ext xmlns:c16="http://schemas.microsoft.com/office/drawing/2014/chart" uri="{C3380CC4-5D6E-409C-BE32-E72D297353CC}">
              <c16:uniqueId val="{00000005-19C8-4A13-88D2-67DB62CB025A}"/>
            </c:ext>
          </c:extLst>
        </c:ser>
        <c:ser>
          <c:idx val="3"/>
          <c:order val="2"/>
          <c:tx>
            <c:strRef>
              <c:f>'C'!$AM$8</c:f>
              <c:strCache>
                <c:ptCount val="1"/>
                <c:pt idx="0">
                  <c:v>Pirmskrīzes trends</c:v>
                </c:pt>
              </c:strCache>
            </c:strRef>
          </c:tx>
          <c:spPr>
            <a:ln w="9525" cap="rnd">
              <a:solidFill>
                <a:schemeClr val="tx1"/>
              </a:solidFill>
              <a:prstDash val="dash"/>
              <a:round/>
            </a:ln>
            <a:effectLst/>
          </c:spPr>
          <c:marker>
            <c:symbol val="none"/>
          </c:marker>
          <c:cat>
            <c:numRef>
              <c:f>'C'!$AW$2:$BN$2</c:f>
              <c:numCache>
                <c:formatCode>General</c:formatCode>
                <c:ptCount val="18"/>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pt idx="16">
                  <c:v>2026</c:v>
                </c:pt>
                <c:pt idx="17">
                  <c:v>2027</c:v>
                </c:pt>
              </c:numCache>
            </c:numRef>
          </c:cat>
          <c:val>
            <c:numRef>
              <c:f>'C'!$AW$8:$BN$8</c:f>
              <c:numCache>
                <c:formatCode>0</c:formatCode>
                <c:ptCount val="18"/>
                <c:pt idx="0">
                  <c:v>20493.588</c:v>
                </c:pt>
                <c:pt idx="1">
                  <c:v>21169.876403999999</c:v>
                </c:pt>
                <c:pt idx="2">
                  <c:v>21868.482325331996</c:v>
                </c:pt>
                <c:pt idx="3">
                  <c:v>22590.142242067948</c:v>
                </c:pt>
                <c:pt idx="4">
                  <c:v>23335.616936056187</c:v>
                </c:pt>
                <c:pt idx="5">
                  <c:v>24105.692294946039</c:v>
                </c:pt>
                <c:pt idx="6">
                  <c:v>24901.180140679255</c:v>
                </c:pt>
                <c:pt idx="7">
                  <c:v>25722.919085321668</c:v>
                </c:pt>
                <c:pt idx="8">
                  <c:v>26571.775415137279</c:v>
                </c:pt>
                <c:pt idx="9">
                  <c:v>27448.644003836805</c:v>
                </c:pt>
                <c:pt idx="10">
                  <c:v>28354.449255963416</c:v>
                </c:pt>
                <c:pt idx="11">
                  <c:v>29290.146081410207</c:v>
                </c:pt>
                <c:pt idx="12">
                  <c:v>30256.720902096742</c:v>
                </c:pt>
                <c:pt idx="13">
                  <c:v>31255.192691865934</c:v>
                </c:pt>
                <c:pt idx="14">
                  <c:v>32286.614050697506</c:v>
                </c:pt>
                <c:pt idx="15">
                  <c:v>33352.072314370518</c:v>
                </c:pt>
              </c:numCache>
            </c:numRef>
          </c:val>
          <c:smooth val="0"/>
          <c:extLst>
            <c:ext xmlns:c16="http://schemas.microsoft.com/office/drawing/2014/chart" uri="{C3380CC4-5D6E-409C-BE32-E72D297353CC}">
              <c16:uniqueId val="{00000006-19C8-4A13-88D2-67DB62CB025A}"/>
            </c:ext>
          </c:extLst>
        </c:ser>
        <c:dLbls>
          <c:showLegendKey val="0"/>
          <c:showVal val="0"/>
          <c:showCatName val="0"/>
          <c:showSerName val="0"/>
          <c:showPercent val="0"/>
          <c:showBubbleSize val="0"/>
        </c:dLbls>
        <c:smooth val="0"/>
        <c:axId val="1058606800"/>
        <c:axId val="1058620248"/>
      </c:lineChart>
      <c:catAx>
        <c:axId val="105860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58620248"/>
        <c:crosses val="autoZero"/>
        <c:auto val="1"/>
        <c:lblAlgn val="ctr"/>
        <c:lblOffset val="100"/>
        <c:noMultiLvlLbl val="0"/>
      </c:catAx>
      <c:valAx>
        <c:axId val="1058620248"/>
        <c:scaling>
          <c:orientation val="minMax"/>
          <c:min val="20000"/>
        </c:scaling>
        <c:delete val="1"/>
        <c:axPos val="l"/>
        <c:numFmt formatCode="0" sourceLinked="1"/>
        <c:majorTickMark val="out"/>
        <c:minorTickMark val="none"/>
        <c:tickLblPos val="nextTo"/>
        <c:crossAx val="1058606800"/>
        <c:crosses val="autoZero"/>
        <c:crossBetween val="between"/>
      </c:valAx>
      <c:spPr>
        <a:noFill/>
        <a:ln>
          <a:noFill/>
        </a:ln>
        <a:effectLst/>
      </c:spPr>
    </c:plotArea>
    <c:legend>
      <c:legendPos val="b"/>
      <c:layout>
        <c:manualLayout>
          <c:xMode val="edge"/>
          <c:yMode val="edge"/>
          <c:x val="0"/>
          <c:y val="2.0680708750268777E-2"/>
          <c:w val="0.71541007429565184"/>
          <c:h val="0.3624958707608810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5310</Words>
  <Characters>3027</Characters>
  <Application>Microsoft Office Word</Application>
  <DocSecurity>0</DocSecurity>
  <Lines>25</Lines>
  <Paragraphs>16</Paragraphs>
  <ScaleCrop>false</ScaleCrop>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Salmiņš</dc:creator>
  <cp:keywords/>
  <dc:description/>
  <cp:lastModifiedBy>Kristaps Soms</cp:lastModifiedBy>
  <cp:revision>3</cp:revision>
  <dcterms:created xsi:type="dcterms:W3CDTF">2020-05-12T16:19:00Z</dcterms:created>
  <dcterms:modified xsi:type="dcterms:W3CDTF">2020-05-14T12:14:00Z</dcterms:modified>
</cp:coreProperties>
</file>