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908A" w14:textId="4D75ED9A" w:rsidR="00452B9E" w:rsidRDefault="00452B9E" w:rsidP="00042A5F">
      <w:pPr>
        <w:pBdr>
          <w:top w:val="nil"/>
          <w:left w:val="nil"/>
          <w:bottom w:val="nil"/>
          <w:right w:val="nil"/>
          <w:between w:val="nil"/>
        </w:pBdr>
        <w:spacing w:after="0" w:line="240" w:lineRule="auto"/>
        <w:jc w:val="right"/>
      </w:pPr>
      <w:r>
        <w:t>3. pielikums</w:t>
      </w:r>
    </w:p>
    <w:p w14:paraId="046896FE" w14:textId="77777777" w:rsidR="00452B9E" w:rsidRPr="00EA48F6" w:rsidRDefault="00452B9E" w:rsidP="00452B9E">
      <w:pPr>
        <w:pBdr>
          <w:top w:val="nil"/>
          <w:left w:val="nil"/>
          <w:bottom w:val="nil"/>
          <w:right w:val="nil"/>
          <w:between w:val="nil"/>
        </w:pBdr>
        <w:spacing w:after="0" w:line="240" w:lineRule="auto"/>
        <w:jc w:val="right"/>
      </w:pPr>
    </w:p>
    <w:p w14:paraId="740FC264" w14:textId="5E25AC7A" w:rsidR="00452B9E" w:rsidRDefault="00452B9E" w:rsidP="00452B9E">
      <w:pPr>
        <w:pBdr>
          <w:top w:val="nil"/>
          <w:left w:val="nil"/>
          <w:bottom w:val="nil"/>
          <w:right w:val="nil"/>
          <w:between w:val="nil"/>
        </w:pBdr>
        <w:spacing w:after="0" w:line="240" w:lineRule="auto"/>
        <w:jc w:val="center"/>
        <w:rPr>
          <w:b/>
          <w:bCs/>
        </w:rPr>
      </w:pPr>
      <w:r w:rsidRPr="00C03F13">
        <w:rPr>
          <w:b/>
          <w:bCs/>
        </w:rPr>
        <w:t xml:space="preserve">Eiropas Savienības kohēzijas politikas programmas 2021.–2027. gadam 1.2.1. specifiskā atbalsta mērķa </w:t>
      </w:r>
      <w:r w:rsidR="00C22387">
        <w:rPr>
          <w:b/>
          <w:bCs/>
        </w:rPr>
        <w:t>“</w:t>
      </w:r>
      <w:r w:rsidRPr="00C03F13">
        <w:rPr>
          <w:b/>
          <w:bCs/>
        </w:rPr>
        <w:t xml:space="preserve">Pētniecības un inovāciju kapacitātes stiprināšana un progresīvu tehnoloģiju ieviešana uzņēmumiem” 1.2.1.2. pasākuma </w:t>
      </w:r>
      <w:r w:rsidR="00C22387">
        <w:rPr>
          <w:b/>
          <w:bCs/>
        </w:rPr>
        <w:t>“</w:t>
      </w:r>
      <w:r w:rsidRPr="00C03F13">
        <w:rPr>
          <w:b/>
          <w:bCs/>
        </w:rPr>
        <w:t>Produktivitātes aizdevumi uzņēmumu inovācijām”</w:t>
      </w:r>
    </w:p>
    <w:p w14:paraId="1BA16261" w14:textId="77777777" w:rsidR="00452B9E" w:rsidRDefault="00452B9E" w:rsidP="00452B9E">
      <w:pPr>
        <w:pBdr>
          <w:top w:val="nil"/>
          <w:left w:val="nil"/>
          <w:bottom w:val="nil"/>
          <w:right w:val="nil"/>
          <w:between w:val="nil"/>
        </w:pBdr>
        <w:spacing w:after="0" w:line="240" w:lineRule="auto"/>
        <w:jc w:val="center"/>
        <w:rPr>
          <w:b/>
          <w:bCs/>
        </w:rPr>
      </w:pPr>
    </w:p>
    <w:p w14:paraId="1947D405" w14:textId="4A788A4C" w:rsidR="00452B9E" w:rsidRPr="00EA48F6" w:rsidRDefault="00E95DE8" w:rsidP="00452B9E">
      <w:pPr>
        <w:pBdr>
          <w:top w:val="nil"/>
          <w:left w:val="nil"/>
          <w:bottom w:val="nil"/>
          <w:right w:val="nil"/>
          <w:between w:val="nil"/>
        </w:pBdr>
        <w:spacing w:after="0" w:line="240" w:lineRule="auto"/>
        <w:jc w:val="center"/>
        <w:rPr>
          <w:b/>
          <w:bCs/>
        </w:rPr>
      </w:pPr>
      <w:r>
        <w:rPr>
          <w:b/>
          <w:bCs/>
        </w:rPr>
        <w:t>Divējāda</w:t>
      </w:r>
      <w:r w:rsidR="006003DB">
        <w:rPr>
          <w:b/>
          <w:bCs/>
        </w:rPr>
        <w:t xml:space="preserve"> lietojuma inovatīva produkta </w:t>
      </w:r>
      <w:r w:rsidR="00452B9E">
        <w:rPr>
          <w:b/>
          <w:bCs/>
        </w:rPr>
        <w:t>zinātniskās ekspertīzes</w:t>
      </w:r>
      <w:r w:rsidR="00452B9E" w:rsidRPr="00FC3079">
        <w:rPr>
          <w:b/>
          <w:bCs/>
        </w:rPr>
        <w:t xml:space="preserve"> vērtējuma veidlapa</w:t>
      </w:r>
    </w:p>
    <w:tbl>
      <w:tblPr>
        <w:tblW w:w="93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4953"/>
      </w:tblGrid>
      <w:tr w:rsidR="00452B9E" w:rsidRPr="00E74C9B" w14:paraId="7C63597D" w14:textId="77777777" w:rsidTr="00291596">
        <w:tc>
          <w:tcPr>
            <w:tcW w:w="9356" w:type="dxa"/>
            <w:gridSpan w:val="3"/>
            <w:shd w:val="clear" w:color="auto" w:fill="auto"/>
          </w:tcPr>
          <w:p w14:paraId="739D80CE" w14:textId="755869B9" w:rsidR="00452B9E" w:rsidRPr="00674738" w:rsidRDefault="009C19EA" w:rsidP="00291596">
            <w:pPr>
              <w:spacing w:before="120" w:after="120" w:line="240" w:lineRule="auto"/>
              <w:jc w:val="center"/>
              <w:rPr>
                <w:bCs/>
              </w:rPr>
            </w:pPr>
            <w:bookmarkStart w:id="0" w:name="_Hlk125618996"/>
            <w:r>
              <w:rPr>
                <w:b/>
                <w:bCs/>
              </w:rPr>
              <w:t>Biznesa projekta</w:t>
            </w:r>
            <w:r w:rsidR="00452B9E" w:rsidRPr="005271E2">
              <w:rPr>
                <w:b/>
                <w:bCs/>
              </w:rPr>
              <w:t xml:space="preserve"> vērtējums</w:t>
            </w:r>
            <w:bookmarkEnd w:id="0"/>
            <w:r w:rsidR="00452B9E">
              <w:rPr>
                <w:b/>
                <w:bCs/>
              </w:rPr>
              <w:t xml:space="preserve"> </w:t>
            </w:r>
          </w:p>
        </w:tc>
      </w:tr>
      <w:tr w:rsidR="00452B9E" w:rsidRPr="00E74C9B" w14:paraId="2DD6018E" w14:textId="77777777" w:rsidTr="00291596">
        <w:tc>
          <w:tcPr>
            <w:tcW w:w="9356" w:type="dxa"/>
            <w:gridSpan w:val="3"/>
            <w:shd w:val="clear" w:color="auto" w:fill="auto"/>
          </w:tcPr>
          <w:p w14:paraId="0A6D1DF4" w14:textId="77777777" w:rsidR="00452B9E" w:rsidRDefault="00452B9E" w:rsidP="00291596">
            <w:pPr>
              <w:spacing w:after="0" w:line="240" w:lineRule="auto"/>
            </w:pPr>
            <w:r w:rsidRPr="005271E2">
              <w:t>Projekta nosaukums:</w:t>
            </w:r>
          </w:p>
          <w:p w14:paraId="1722D1C4" w14:textId="77777777" w:rsidR="00452B9E" w:rsidRPr="005271E2" w:rsidRDefault="00452B9E" w:rsidP="00291596">
            <w:pPr>
              <w:spacing w:after="0" w:line="240" w:lineRule="auto"/>
            </w:pPr>
          </w:p>
        </w:tc>
      </w:tr>
      <w:tr w:rsidR="00554BCA" w:rsidRPr="00E74C9B" w14:paraId="3D565544" w14:textId="77777777" w:rsidTr="00291596">
        <w:tc>
          <w:tcPr>
            <w:tcW w:w="608" w:type="dxa"/>
            <w:shd w:val="clear" w:color="auto" w:fill="auto"/>
          </w:tcPr>
          <w:p w14:paraId="26086BE5" w14:textId="2B138CDF" w:rsidR="00554BCA" w:rsidRPr="005271E2" w:rsidRDefault="00554BCA" w:rsidP="00554BCA">
            <w:pPr>
              <w:spacing w:after="0" w:line="240" w:lineRule="auto"/>
              <w:rPr>
                <w:b/>
              </w:rPr>
            </w:pPr>
            <w:r>
              <w:rPr>
                <w:b/>
              </w:rPr>
              <w:t>1.</w:t>
            </w:r>
          </w:p>
        </w:tc>
        <w:tc>
          <w:tcPr>
            <w:tcW w:w="3795" w:type="dxa"/>
            <w:shd w:val="clear" w:color="auto" w:fill="auto"/>
          </w:tcPr>
          <w:p w14:paraId="2C1FE910" w14:textId="2EF0ECD9" w:rsidR="00554BCA" w:rsidRPr="00F8785A" w:rsidRDefault="00554BCA" w:rsidP="00554BCA">
            <w:pPr>
              <w:spacing w:after="0" w:line="240" w:lineRule="auto"/>
              <w:jc w:val="center"/>
              <w:rPr>
                <w:b/>
                <w:bCs/>
              </w:rPr>
            </w:pPr>
            <w:r>
              <w:rPr>
                <w:b/>
                <w:bCs/>
              </w:rPr>
              <w:t xml:space="preserve">Kritērijs: </w:t>
            </w:r>
            <w:r w:rsidR="00E95DE8">
              <w:rPr>
                <w:b/>
                <w:bCs/>
              </w:rPr>
              <w:t>Divējāda</w:t>
            </w:r>
            <w:r w:rsidRPr="00F8785A">
              <w:rPr>
                <w:b/>
                <w:bCs/>
              </w:rPr>
              <w:t xml:space="preserve"> lietojuma vērtējums drošības un aizsardzības jomā</w:t>
            </w:r>
          </w:p>
        </w:tc>
        <w:tc>
          <w:tcPr>
            <w:tcW w:w="4953" w:type="dxa"/>
            <w:shd w:val="clear" w:color="auto" w:fill="auto"/>
          </w:tcPr>
          <w:p w14:paraId="5F3CDF7B" w14:textId="07493162" w:rsidR="00554BCA" w:rsidRPr="005271E2" w:rsidRDefault="00554BCA" w:rsidP="00554BCA">
            <w:pPr>
              <w:spacing w:after="0" w:line="240" w:lineRule="auto"/>
            </w:pPr>
            <w:r w:rsidRPr="005271E2">
              <w:t>Atbilst / Neatbilst</w:t>
            </w:r>
          </w:p>
        </w:tc>
      </w:tr>
      <w:tr w:rsidR="00554BCA" w:rsidRPr="00E74C9B" w14:paraId="1CDAAD9B" w14:textId="77777777" w:rsidTr="00291596">
        <w:tc>
          <w:tcPr>
            <w:tcW w:w="608" w:type="dxa"/>
            <w:shd w:val="clear" w:color="auto" w:fill="auto"/>
          </w:tcPr>
          <w:p w14:paraId="5DE55C3A" w14:textId="69C612F6" w:rsidR="00554BCA" w:rsidRDefault="00554BCA" w:rsidP="00554BCA">
            <w:pPr>
              <w:spacing w:after="0" w:line="240" w:lineRule="auto"/>
              <w:rPr>
                <w:b/>
              </w:rPr>
            </w:pPr>
            <w:r>
              <w:rPr>
                <w:b/>
              </w:rPr>
              <w:t>1.1.</w:t>
            </w:r>
          </w:p>
        </w:tc>
        <w:tc>
          <w:tcPr>
            <w:tcW w:w="3795" w:type="dxa"/>
            <w:shd w:val="clear" w:color="auto" w:fill="auto"/>
          </w:tcPr>
          <w:p w14:paraId="6ED26099" w14:textId="37AB7BBE" w:rsidR="00554BCA" w:rsidRDefault="00554BCA" w:rsidP="00554BCA">
            <w:pPr>
              <w:pStyle w:val="Bezatstarpm"/>
              <w:jc w:val="both"/>
              <w:rPr>
                <w:rFonts w:ascii="Times New Roman" w:hAnsi="Times New Roman"/>
                <w:color w:val="auto"/>
                <w:sz w:val="24"/>
              </w:rPr>
            </w:pPr>
            <w:r>
              <w:rPr>
                <w:rFonts w:ascii="Times New Roman" w:hAnsi="Times New Roman"/>
                <w:color w:val="auto"/>
                <w:sz w:val="24"/>
                <w:u w:val="single"/>
              </w:rPr>
              <w:t>Apsvērums</w:t>
            </w:r>
            <w:r>
              <w:rPr>
                <w:rFonts w:ascii="Times New Roman" w:hAnsi="Times New Roman"/>
                <w:color w:val="auto"/>
                <w:sz w:val="24"/>
              </w:rPr>
              <w:t xml:space="preserve">: biznesa projektā </w:t>
            </w:r>
            <w:r>
              <w:rPr>
                <w:rFonts w:ascii="Times New Roman" w:hAnsi="Times New Roman"/>
                <w:sz w:val="24"/>
              </w:rPr>
              <w:t xml:space="preserve">plānotais produkts atbilst </w:t>
            </w:r>
            <w:r w:rsidR="00E95DE8">
              <w:rPr>
                <w:rFonts w:ascii="Times New Roman" w:hAnsi="Times New Roman"/>
                <w:sz w:val="24"/>
              </w:rPr>
              <w:t>divējāda</w:t>
            </w:r>
            <w:r>
              <w:rPr>
                <w:rFonts w:ascii="Times New Roman" w:hAnsi="Times New Roman"/>
                <w:sz w:val="24"/>
              </w:rPr>
              <w:t xml:space="preserve"> lietojuma inovatīva produkta definīcijai</w:t>
            </w:r>
            <w:r w:rsidR="00A47C1D">
              <w:rPr>
                <w:rFonts w:ascii="Times New Roman" w:hAnsi="Times New Roman"/>
                <w:sz w:val="24"/>
              </w:rPr>
              <w:t>, kas minēts šīs metodikas 7. punktā</w:t>
            </w:r>
            <w:r>
              <w:rPr>
                <w:rFonts w:ascii="Times New Roman" w:hAnsi="Times New Roman"/>
                <w:color w:val="auto"/>
                <w:sz w:val="24"/>
              </w:rPr>
              <w:t>.</w:t>
            </w:r>
          </w:p>
          <w:p w14:paraId="43100572" w14:textId="77777777" w:rsidR="00554BCA" w:rsidRDefault="00554BCA" w:rsidP="00554BCA">
            <w:pPr>
              <w:spacing w:after="0" w:line="240" w:lineRule="auto"/>
              <w:jc w:val="center"/>
              <w:rPr>
                <w:b/>
                <w:bCs/>
              </w:rPr>
            </w:pPr>
          </w:p>
        </w:tc>
        <w:tc>
          <w:tcPr>
            <w:tcW w:w="4953" w:type="dxa"/>
            <w:shd w:val="clear" w:color="auto" w:fill="auto"/>
          </w:tcPr>
          <w:p w14:paraId="58ADC13A" w14:textId="15E19939" w:rsidR="00554BCA" w:rsidRPr="00520C64" w:rsidRDefault="00554BCA" w:rsidP="00520C64">
            <w:pPr>
              <w:rPr>
                <w:bCs/>
                <w:i/>
                <w:iCs/>
              </w:rPr>
            </w:pPr>
            <w:r w:rsidRPr="00554BCA">
              <w:rPr>
                <w:bCs/>
                <w:i/>
                <w:iCs/>
              </w:rPr>
              <w:t>Eksperts pamato sniegto vērtējumu “Atbilst” /</w:t>
            </w:r>
            <w:r w:rsidR="009E1AB5">
              <w:rPr>
                <w:bCs/>
                <w:i/>
                <w:iCs/>
              </w:rPr>
              <w:t xml:space="preserve"> </w:t>
            </w:r>
            <w:r w:rsidRPr="00554BCA">
              <w:rPr>
                <w:bCs/>
                <w:i/>
                <w:iCs/>
              </w:rPr>
              <w:t>“Neatbilst”, ņemot vērā kritērija izpildi kopumā.</w:t>
            </w:r>
          </w:p>
        </w:tc>
      </w:tr>
      <w:tr w:rsidR="00554BCA" w:rsidRPr="00E74C9B" w14:paraId="685E15FA" w14:textId="77777777" w:rsidTr="00291596">
        <w:tc>
          <w:tcPr>
            <w:tcW w:w="608" w:type="dxa"/>
            <w:shd w:val="clear" w:color="auto" w:fill="auto"/>
          </w:tcPr>
          <w:p w14:paraId="060664A7" w14:textId="33CB7BDA" w:rsidR="00554BCA" w:rsidRPr="005271E2" w:rsidRDefault="00807276" w:rsidP="00554BCA">
            <w:pPr>
              <w:spacing w:after="0" w:line="240" w:lineRule="auto"/>
              <w:rPr>
                <w:b/>
              </w:rPr>
            </w:pPr>
            <w:r>
              <w:rPr>
                <w:b/>
              </w:rPr>
              <w:t>2</w:t>
            </w:r>
            <w:r w:rsidR="00554BCA" w:rsidRPr="005271E2">
              <w:rPr>
                <w:b/>
              </w:rPr>
              <w:t>.</w:t>
            </w:r>
          </w:p>
        </w:tc>
        <w:tc>
          <w:tcPr>
            <w:tcW w:w="3795" w:type="dxa"/>
            <w:shd w:val="clear" w:color="auto" w:fill="auto"/>
          </w:tcPr>
          <w:p w14:paraId="3E5019C2" w14:textId="7D1BFEEF" w:rsidR="00554BCA" w:rsidRPr="005271E2" w:rsidRDefault="00554BCA" w:rsidP="00554BCA">
            <w:pPr>
              <w:spacing w:after="0" w:line="240" w:lineRule="auto"/>
              <w:jc w:val="center"/>
              <w:rPr>
                <w:b/>
                <w:bCs/>
              </w:rPr>
            </w:pPr>
            <w:r w:rsidRPr="005271E2">
              <w:rPr>
                <w:b/>
                <w:bCs/>
              </w:rPr>
              <w:t xml:space="preserve">Kritērijs: </w:t>
            </w:r>
            <w:r w:rsidR="00E95DE8">
              <w:rPr>
                <w:b/>
                <w:bCs/>
              </w:rPr>
              <w:t>Divējāda</w:t>
            </w:r>
            <w:r w:rsidR="00807276" w:rsidRPr="00807276">
              <w:rPr>
                <w:b/>
                <w:bCs/>
              </w:rPr>
              <w:t xml:space="preserve"> lietojuma inovatīvā  produkta zinātniskā kvalitāte</w:t>
            </w:r>
          </w:p>
        </w:tc>
        <w:tc>
          <w:tcPr>
            <w:tcW w:w="4953" w:type="dxa"/>
            <w:shd w:val="clear" w:color="auto" w:fill="auto"/>
          </w:tcPr>
          <w:p w14:paraId="21F8FF12" w14:textId="3B514EBF" w:rsidR="00554BCA" w:rsidRPr="005271E2" w:rsidRDefault="00554BCA" w:rsidP="00554BCA">
            <w:pPr>
              <w:spacing w:after="0" w:line="240" w:lineRule="auto"/>
              <w:rPr>
                <w:b/>
              </w:rPr>
            </w:pPr>
            <w:r w:rsidRPr="005271E2">
              <w:t>Atbilst / Neatbilst</w:t>
            </w:r>
          </w:p>
        </w:tc>
      </w:tr>
      <w:tr w:rsidR="00554BCA" w:rsidRPr="00CB737B" w14:paraId="5B48B12B" w14:textId="77777777" w:rsidTr="00291596">
        <w:tc>
          <w:tcPr>
            <w:tcW w:w="608" w:type="dxa"/>
            <w:shd w:val="clear" w:color="auto" w:fill="auto"/>
          </w:tcPr>
          <w:p w14:paraId="7C7DF9C0" w14:textId="31D22343" w:rsidR="00554BCA" w:rsidRPr="000E128D" w:rsidRDefault="00807276" w:rsidP="00554BCA">
            <w:pPr>
              <w:spacing w:after="0" w:line="240" w:lineRule="auto"/>
              <w:rPr>
                <w:b/>
              </w:rPr>
            </w:pPr>
            <w:r>
              <w:rPr>
                <w:b/>
              </w:rPr>
              <w:t>2</w:t>
            </w:r>
            <w:r w:rsidR="00554BCA" w:rsidRPr="000E128D">
              <w:rPr>
                <w:b/>
              </w:rPr>
              <w:t>.1.</w:t>
            </w:r>
          </w:p>
        </w:tc>
        <w:tc>
          <w:tcPr>
            <w:tcW w:w="3795" w:type="dxa"/>
            <w:shd w:val="clear" w:color="auto" w:fill="auto"/>
          </w:tcPr>
          <w:p w14:paraId="2FECBBE8" w14:textId="7DE6F050" w:rsidR="00554BCA" w:rsidRPr="006859CB" w:rsidRDefault="00554BCA" w:rsidP="00554BCA">
            <w:pPr>
              <w:spacing w:after="0" w:line="240" w:lineRule="auto"/>
            </w:pPr>
            <w:r w:rsidRPr="00874704">
              <w:rPr>
                <w:u w:val="single"/>
              </w:rPr>
              <w:t>Apsvērums:</w:t>
            </w:r>
            <w:r>
              <w:t xml:space="preserve"> </w:t>
            </w:r>
            <w:r w:rsidR="00876C99">
              <w:t xml:space="preserve">biznesa </w:t>
            </w:r>
            <w:r w:rsidR="00876C99" w:rsidRPr="00FC4DD7">
              <w:t xml:space="preserve">projektā paredzētā darbība sasaistē ar zinātni atbilst noteikumos definētajam pasākuma mērķim – projekta ietvaros paredzētais inovācijas risinājums ir tehnoloģijas, procesa, pakalpojuma vai produkta inovācija </w:t>
            </w:r>
            <w:r w:rsidR="00876C99">
              <w:t>komersanta</w:t>
            </w:r>
            <w:r w:rsidR="00876C99" w:rsidRPr="00FC4DD7">
              <w:t xml:space="preserve"> </w:t>
            </w:r>
            <w:r w:rsidR="00876C99" w:rsidRPr="004E6225">
              <w:t>(projekta pieteicēja)</w:t>
            </w:r>
            <w:r w:rsidR="00876C99">
              <w:t xml:space="preserve"> </w:t>
            </w:r>
            <w:r w:rsidR="00876C99" w:rsidRPr="00FC4DD7">
              <w:t>līmenī; projektu īstenojot, tam ir spēja radīt inovāciju.</w:t>
            </w:r>
          </w:p>
        </w:tc>
        <w:tc>
          <w:tcPr>
            <w:tcW w:w="4953" w:type="dxa"/>
            <w:vMerge w:val="restart"/>
            <w:shd w:val="clear" w:color="auto" w:fill="auto"/>
          </w:tcPr>
          <w:p w14:paraId="5707A4C3" w14:textId="73901585" w:rsidR="00554BCA" w:rsidRPr="00CB737B" w:rsidRDefault="00554BCA" w:rsidP="00554BCA">
            <w:pPr>
              <w:spacing w:after="0" w:line="240" w:lineRule="auto"/>
              <w:rPr>
                <w:i/>
                <w:iCs/>
              </w:rPr>
            </w:pPr>
            <w:r w:rsidRPr="00CB737B">
              <w:rPr>
                <w:i/>
                <w:iCs/>
              </w:rPr>
              <w:t>Eksperts pamato sniegto vērtējumu “Atbilst</w:t>
            </w:r>
            <w:r>
              <w:rPr>
                <w:i/>
                <w:iCs/>
              </w:rPr>
              <w:t>”</w:t>
            </w:r>
            <w:r w:rsidRPr="00CB737B">
              <w:rPr>
                <w:i/>
                <w:iCs/>
              </w:rPr>
              <w:t xml:space="preserve"> /</w:t>
            </w:r>
            <w:r w:rsidR="009E1AB5">
              <w:rPr>
                <w:i/>
                <w:iCs/>
              </w:rPr>
              <w:t xml:space="preserve"> </w:t>
            </w:r>
            <w:r>
              <w:rPr>
                <w:i/>
                <w:iCs/>
              </w:rPr>
              <w:t>“</w:t>
            </w:r>
            <w:r w:rsidRPr="00CB737B">
              <w:rPr>
                <w:i/>
                <w:iCs/>
              </w:rPr>
              <w:t>Neatbilst</w:t>
            </w:r>
            <w:r>
              <w:rPr>
                <w:i/>
                <w:iCs/>
              </w:rPr>
              <w:t>”</w:t>
            </w:r>
            <w:r w:rsidRPr="00CB737B">
              <w:rPr>
                <w:i/>
                <w:iCs/>
              </w:rPr>
              <w:t>, ņemot vērā kritērija izpildi kopumā un kritērija katra apsvēruma izpildi</w:t>
            </w:r>
            <w:r>
              <w:rPr>
                <w:i/>
                <w:iCs/>
              </w:rPr>
              <w:t xml:space="preserve"> un sniedzot vērtējumu, vai p</w:t>
            </w:r>
            <w:r w:rsidRPr="00604770">
              <w:rPr>
                <w:i/>
                <w:iCs/>
              </w:rPr>
              <w:t>rojektā paredzētais risinājums ir vērtējams</w:t>
            </w:r>
            <w:r>
              <w:t xml:space="preserve"> </w:t>
            </w:r>
            <w:r w:rsidRPr="00604770">
              <w:rPr>
                <w:i/>
                <w:iCs/>
              </w:rPr>
              <w:t xml:space="preserve">kā </w:t>
            </w:r>
            <w:r w:rsidRPr="008E6788">
              <w:rPr>
                <w:i/>
                <w:iCs/>
              </w:rPr>
              <w:t>inovācija</w:t>
            </w:r>
            <w:r w:rsidRPr="00604770">
              <w:rPr>
                <w:i/>
                <w:iCs/>
              </w:rPr>
              <w:t xml:space="preserve"> </w:t>
            </w:r>
            <w:r w:rsidRPr="00B31000">
              <w:rPr>
                <w:i/>
                <w:iCs/>
              </w:rPr>
              <w:t>komersanta (projekta pieteicēja)</w:t>
            </w:r>
            <w:r>
              <w:rPr>
                <w:i/>
                <w:iCs/>
              </w:rPr>
              <w:t xml:space="preserve"> līmenī.</w:t>
            </w:r>
            <w:r w:rsidRPr="00CB737B">
              <w:rPr>
                <w:i/>
                <w:iCs/>
              </w:rPr>
              <w:t xml:space="preserve"> </w:t>
            </w:r>
          </w:p>
        </w:tc>
      </w:tr>
      <w:tr w:rsidR="00554BCA" w:rsidRPr="00E74C9B" w14:paraId="4A36A2FE" w14:textId="77777777" w:rsidTr="00291596">
        <w:trPr>
          <w:trHeight w:val="1104"/>
        </w:trPr>
        <w:tc>
          <w:tcPr>
            <w:tcW w:w="608" w:type="dxa"/>
            <w:shd w:val="clear" w:color="auto" w:fill="auto"/>
          </w:tcPr>
          <w:p w14:paraId="0EC1A0C8" w14:textId="33AA1812" w:rsidR="00554BCA" w:rsidRPr="000E128D" w:rsidRDefault="00807276" w:rsidP="00554BCA">
            <w:pPr>
              <w:spacing w:after="0" w:line="240" w:lineRule="auto"/>
              <w:rPr>
                <w:b/>
              </w:rPr>
            </w:pPr>
            <w:r>
              <w:rPr>
                <w:b/>
              </w:rPr>
              <w:t>2</w:t>
            </w:r>
            <w:r w:rsidR="00554BCA">
              <w:rPr>
                <w:b/>
              </w:rPr>
              <w:t>.2.</w:t>
            </w:r>
          </w:p>
        </w:tc>
        <w:tc>
          <w:tcPr>
            <w:tcW w:w="3795" w:type="dxa"/>
            <w:shd w:val="clear" w:color="auto" w:fill="auto"/>
          </w:tcPr>
          <w:p w14:paraId="37F64963" w14:textId="67A90956" w:rsidR="00554BCA" w:rsidRPr="000E128D" w:rsidRDefault="00554BCA" w:rsidP="006859CB">
            <w:pPr>
              <w:spacing w:after="0" w:line="240" w:lineRule="auto"/>
            </w:pPr>
            <w:r w:rsidRPr="008F3E1F">
              <w:rPr>
                <w:u w:val="single"/>
              </w:rPr>
              <w:t>Apsvērums</w:t>
            </w:r>
            <w:r w:rsidRPr="000E128D">
              <w:t xml:space="preserve">: </w:t>
            </w:r>
            <w:r w:rsidR="0034187A" w:rsidRPr="00FC4DD7">
              <w:t xml:space="preserve">izvēlētā inovācijas risinājuma stratēģijas un metodisko risinājumu zinātniskā kvalitāte, kā arī atbilstība noteikto mērķu sasniegšanai – veicinās </w:t>
            </w:r>
            <w:r w:rsidR="0034187A">
              <w:t>komersanta</w:t>
            </w:r>
            <w:r w:rsidR="0034187A" w:rsidRPr="00FC4DD7">
              <w:t xml:space="preserve"> </w:t>
            </w:r>
            <w:r w:rsidR="0034187A" w:rsidRPr="004E6225">
              <w:t>(projekta pieteicēja)</w:t>
            </w:r>
            <w:r w:rsidR="0034187A">
              <w:t xml:space="preserve"> </w:t>
            </w:r>
            <w:r w:rsidR="0034187A" w:rsidRPr="00FC4DD7">
              <w:t>tehnoloģiju, procesa, pakalpojuma vai produkta inovācijas sasniegšanu.</w:t>
            </w:r>
          </w:p>
        </w:tc>
        <w:tc>
          <w:tcPr>
            <w:tcW w:w="4953" w:type="dxa"/>
            <w:vMerge/>
            <w:shd w:val="clear" w:color="auto" w:fill="auto"/>
          </w:tcPr>
          <w:p w14:paraId="7E6A2C69" w14:textId="77777777" w:rsidR="00554BCA" w:rsidRPr="00E74C9B" w:rsidRDefault="00554BCA" w:rsidP="00554BCA">
            <w:pPr>
              <w:spacing w:after="0" w:line="240" w:lineRule="auto"/>
              <w:rPr>
                <w:i/>
                <w:iCs/>
                <w:highlight w:val="yellow"/>
              </w:rPr>
            </w:pPr>
          </w:p>
        </w:tc>
      </w:tr>
      <w:tr w:rsidR="00554BCA" w:rsidRPr="00E74C9B" w14:paraId="1A4D2DCE" w14:textId="77777777" w:rsidTr="00291596">
        <w:tc>
          <w:tcPr>
            <w:tcW w:w="608" w:type="dxa"/>
            <w:shd w:val="clear" w:color="auto" w:fill="auto"/>
          </w:tcPr>
          <w:p w14:paraId="2D17C503" w14:textId="4A583436" w:rsidR="00554BCA" w:rsidRPr="00466679" w:rsidRDefault="00807276" w:rsidP="00554BCA">
            <w:pPr>
              <w:spacing w:after="0" w:line="240" w:lineRule="auto"/>
              <w:rPr>
                <w:b/>
              </w:rPr>
            </w:pPr>
            <w:r>
              <w:rPr>
                <w:b/>
              </w:rPr>
              <w:t>2</w:t>
            </w:r>
            <w:r w:rsidR="00554BCA" w:rsidRPr="00466679">
              <w:rPr>
                <w:b/>
              </w:rPr>
              <w:t>.</w:t>
            </w:r>
            <w:r w:rsidR="00554BCA">
              <w:rPr>
                <w:b/>
              </w:rPr>
              <w:t>3</w:t>
            </w:r>
            <w:r w:rsidR="00554BCA" w:rsidRPr="00466679">
              <w:rPr>
                <w:b/>
              </w:rPr>
              <w:t>.</w:t>
            </w:r>
          </w:p>
        </w:tc>
        <w:tc>
          <w:tcPr>
            <w:tcW w:w="3795" w:type="dxa"/>
            <w:shd w:val="clear" w:color="auto" w:fill="auto"/>
          </w:tcPr>
          <w:p w14:paraId="5736E755" w14:textId="25159F79" w:rsidR="00554BCA" w:rsidRPr="00466679" w:rsidRDefault="00554BCA" w:rsidP="00554BCA">
            <w:pPr>
              <w:spacing w:after="0" w:line="240" w:lineRule="auto"/>
            </w:pPr>
            <w:r w:rsidRPr="008F3E1F">
              <w:rPr>
                <w:u w:val="single"/>
              </w:rPr>
              <w:t>Apsvērums</w:t>
            </w:r>
            <w:r w:rsidRPr="00466679">
              <w:t xml:space="preserve">: </w:t>
            </w:r>
            <w:r w:rsidR="00DF2EEE" w:rsidRPr="00DF2EEE">
              <w:t xml:space="preserve">paredzētā inovatīvā produkta priekšizpēte (t.sk. tirgus izpēte (sniegtas atsauces uz testēšanas (t.sk. vieta, laiks, izmantotās testēšanas ierīces, metodes un iesaistītās puses) un priekšizpētes rezultātiem), zinātniskais pamats un pētniecība, </w:t>
            </w:r>
            <w:r w:rsidR="00DF2EEE" w:rsidRPr="00DF2EEE">
              <w:lastRenderedPageBreak/>
              <w:t>atbilstība militārās standartizācijas prasībām - kur tas attiecināms, licences esamība, norādot konkrētus datus un pierādījumus par iegūtajiem datiem, kas saistīti ar plānotā inovatīvā produkta izstrādi) ir veikta pietiekamā apjomā un atbilst biznesa projektā paredzēta inovatīvā produkta izstrādei.</w:t>
            </w:r>
          </w:p>
        </w:tc>
        <w:tc>
          <w:tcPr>
            <w:tcW w:w="4953" w:type="dxa"/>
            <w:vMerge/>
          </w:tcPr>
          <w:p w14:paraId="70557A99" w14:textId="77777777" w:rsidR="00554BCA" w:rsidRPr="00E74C9B" w:rsidRDefault="00554BCA" w:rsidP="00554BCA">
            <w:pPr>
              <w:widowControl w:val="0"/>
              <w:pBdr>
                <w:top w:val="nil"/>
                <w:left w:val="nil"/>
                <w:bottom w:val="nil"/>
                <w:right w:val="nil"/>
                <w:between w:val="nil"/>
              </w:pBdr>
              <w:spacing w:after="0" w:line="240" w:lineRule="auto"/>
              <w:jc w:val="left"/>
              <w:rPr>
                <w:highlight w:val="yellow"/>
              </w:rPr>
            </w:pPr>
          </w:p>
        </w:tc>
      </w:tr>
      <w:tr w:rsidR="00554BCA" w:rsidRPr="00E74C9B" w14:paraId="0AD812A8" w14:textId="77777777" w:rsidTr="00291596">
        <w:trPr>
          <w:trHeight w:val="841"/>
        </w:trPr>
        <w:tc>
          <w:tcPr>
            <w:tcW w:w="608" w:type="dxa"/>
            <w:shd w:val="clear" w:color="auto" w:fill="auto"/>
          </w:tcPr>
          <w:p w14:paraId="1DE2F2CF" w14:textId="5966812E" w:rsidR="00554BCA" w:rsidRPr="00A51823" w:rsidRDefault="00807276" w:rsidP="00554BCA">
            <w:pPr>
              <w:spacing w:after="0" w:line="240" w:lineRule="auto"/>
              <w:rPr>
                <w:b/>
              </w:rPr>
            </w:pPr>
            <w:r>
              <w:rPr>
                <w:b/>
              </w:rPr>
              <w:t>2</w:t>
            </w:r>
            <w:r w:rsidR="00554BCA" w:rsidRPr="00A51823">
              <w:rPr>
                <w:b/>
              </w:rPr>
              <w:t>.</w:t>
            </w:r>
            <w:r w:rsidR="00554BCA">
              <w:rPr>
                <w:b/>
              </w:rPr>
              <w:t>4</w:t>
            </w:r>
            <w:r w:rsidR="00554BCA" w:rsidRPr="00A51823">
              <w:rPr>
                <w:b/>
              </w:rPr>
              <w:t>.</w:t>
            </w:r>
          </w:p>
        </w:tc>
        <w:tc>
          <w:tcPr>
            <w:tcW w:w="3795" w:type="dxa"/>
            <w:shd w:val="clear" w:color="auto" w:fill="auto"/>
          </w:tcPr>
          <w:p w14:paraId="2689A0CE" w14:textId="534CC582" w:rsidR="00554BCA" w:rsidRPr="00874704" w:rsidRDefault="00554BCA" w:rsidP="00554BCA">
            <w:pPr>
              <w:spacing w:after="0"/>
            </w:pPr>
            <w:r w:rsidRPr="00874704">
              <w:rPr>
                <w:u w:val="single"/>
              </w:rPr>
              <w:t>Apsvērums:</w:t>
            </w:r>
            <w:r w:rsidRPr="00874704">
              <w:t xml:space="preserve"> </w:t>
            </w:r>
            <w:r w:rsidR="00FF0166" w:rsidRPr="00C76916">
              <w:t>biznesa projekt</w:t>
            </w:r>
            <w:r w:rsidR="00FF0166">
              <w:t xml:space="preserve">ā </w:t>
            </w:r>
            <w:r w:rsidR="00FF0166" w:rsidRPr="00C76916">
              <w:t xml:space="preserve">ir pietiekami pamatota </w:t>
            </w:r>
            <w:r w:rsidR="00FF0166" w:rsidRPr="00DE7DE1">
              <w:t>inovācijas izstrādes zinātnisk</w:t>
            </w:r>
            <w:r w:rsidR="00FF0166">
              <w:t>ā</w:t>
            </w:r>
            <w:r w:rsidR="00FF0166" w:rsidRPr="00DE7DE1">
              <w:t xml:space="preserve"> kvalitāt</w:t>
            </w:r>
            <w:r w:rsidR="00FF0166">
              <w:t>e</w:t>
            </w:r>
            <w:r w:rsidR="00FF0166" w:rsidRPr="00DE7DE1">
              <w:t>, ticamīb</w:t>
            </w:r>
            <w:r w:rsidR="00FF0166" w:rsidRPr="00C76916">
              <w:t>a</w:t>
            </w:r>
            <w:r w:rsidR="00FF0166" w:rsidRPr="00DE7DE1">
              <w:t xml:space="preserve"> un novitāt</w:t>
            </w:r>
            <w:r w:rsidR="00FF0166" w:rsidRPr="00C76916">
              <w:t>e</w:t>
            </w:r>
            <w:r w:rsidR="00FF0166" w:rsidRPr="00DE7DE1">
              <w:t>, t.sk.:</w:t>
            </w:r>
          </w:p>
          <w:p w14:paraId="20E5C84A" w14:textId="77777777" w:rsidR="0060518F" w:rsidRDefault="00554BCA" w:rsidP="0060518F">
            <w:pPr>
              <w:pStyle w:val="Bezatstarpm"/>
              <w:numPr>
                <w:ilvl w:val="0"/>
                <w:numId w:val="1"/>
              </w:numPr>
              <w:ind w:left="275" w:hanging="275"/>
              <w:jc w:val="both"/>
              <w:rPr>
                <w:rFonts w:ascii="Times New Roman" w:hAnsi="Times New Roman"/>
                <w:color w:val="auto"/>
                <w:sz w:val="24"/>
              </w:rPr>
            </w:pPr>
            <w:r w:rsidRPr="00874704">
              <w:rPr>
                <w:rFonts w:ascii="Times New Roman" w:hAnsi="Times New Roman"/>
                <w:color w:val="auto"/>
                <w:sz w:val="24"/>
              </w:rPr>
              <w:t xml:space="preserve">problēmas un risinājumu definēšana; </w:t>
            </w:r>
          </w:p>
          <w:p w14:paraId="0B4DB317" w14:textId="77777777" w:rsidR="0060518F" w:rsidRDefault="00524785" w:rsidP="0060518F">
            <w:pPr>
              <w:pStyle w:val="Bezatstarpm"/>
              <w:numPr>
                <w:ilvl w:val="0"/>
                <w:numId w:val="1"/>
              </w:numPr>
              <w:ind w:left="275" w:hanging="275"/>
              <w:jc w:val="both"/>
              <w:rPr>
                <w:rFonts w:ascii="Times New Roman" w:hAnsi="Times New Roman"/>
                <w:color w:val="auto"/>
                <w:sz w:val="24"/>
              </w:rPr>
            </w:pPr>
            <w:r w:rsidRPr="0060518F">
              <w:rPr>
                <w:rFonts w:ascii="Times New Roman" w:hAnsi="Times New Roman"/>
                <w:color w:val="auto"/>
                <w:sz w:val="24"/>
              </w:rPr>
              <w:t>produkta potenciālā lietojamība aizsardzības un drošības nozarē, atbilstoši kritisko spēju prioritātēm: bruņojums, munīcija, karavīru individuālais ekipējums, digitālās komandvadības un kontroles spējas, kaujas atbalsts un nodrošinājums, uzturēšana;</w:t>
            </w:r>
          </w:p>
          <w:p w14:paraId="7C17BBE8" w14:textId="0BF32E8E" w:rsidR="00554BCA" w:rsidRPr="0060518F" w:rsidRDefault="00E35AD4" w:rsidP="0060518F">
            <w:pPr>
              <w:pStyle w:val="Bezatstarpm"/>
              <w:numPr>
                <w:ilvl w:val="0"/>
                <w:numId w:val="1"/>
              </w:numPr>
              <w:ind w:left="275" w:hanging="275"/>
              <w:jc w:val="both"/>
              <w:rPr>
                <w:rFonts w:ascii="Times New Roman" w:hAnsi="Times New Roman"/>
                <w:color w:val="auto"/>
                <w:sz w:val="24"/>
              </w:rPr>
            </w:pPr>
            <w:r w:rsidRPr="0060518F">
              <w:rPr>
                <w:rFonts w:ascii="Times New Roman" w:hAnsi="Times New Roman"/>
                <w:color w:val="auto"/>
                <w:sz w:val="24"/>
              </w:rPr>
              <w:t>atbilstība kādai no prioritārajām tehnoloģiju jomām vai to kombinācijām: robotika, mākslīgais intelekts un mašīnmācīšanās, kosmosā bāzēti komunikāciju un novērošanas risinājumi, kvantu tehnoloģijas, inovatīvie materiāli, biotehnoloģijas, enerģija un dzinējspēki.</w:t>
            </w:r>
          </w:p>
        </w:tc>
        <w:tc>
          <w:tcPr>
            <w:tcW w:w="4953" w:type="dxa"/>
            <w:vMerge/>
          </w:tcPr>
          <w:p w14:paraId="3590B0B6" w14:textId="77777777" w:rsidR="00554BCA" w:rsidRPr="00E74C9B" w:rsidRDefault="00554BCA" w:rsidP="00554BCA">
            <w:pPr>
              <w:widowControl w:val="0"/>
              <w:pBdr>
                <w:top w:val="nil"/>
                <w:left w:val="nil"/>
                <w:bottom w:val="nil"/>
                <w:right w:val="nil"/>
                <w:between w:val="nil"/>
              </w:pBdr>
              <w:spacing w:after="0" w:line="240" w:lineRule="auto"/>
              <w:jc w:val="left"/>
              <w:rPr>
                <w:highlight w:val="yellow"/>
              </w:rPr>
            </w:pPr>
          </w:p>
        </w:tc>
      </w:tr>
      <w:tr w:rsidR="00554BCA" w:rsidRPr="00E74C9B" w14:paraId="48E33200" w14:textId="77777777" w:rsidTr="00291596">
        <w:tc>
          <w:tcPr>
            <w:tcW w:w="608" w:type="dxa"/>
            <w:shd w:val="clear" w:color="auto" w:fill="auto"/>
          </w:tcPr>
          <w:p w14:paraId="1E507706" w14:textId="228F9847" w:rsidR="00554BCA" w:rsidRPr="000117C8" w:rsidRDefault="00F70245" w:rsidP="00554BCA">
            <w:pPr>
              <w:spacing w:after="0" w:line="240" w:lineRule="auto"/>
              <w:rPr>
                <w:b/>
              </w:rPr>
            </w:pPr>
            <w:r>
              <w:rPr>
                <w:b/>
              </w:rPr>
              <w:t>3</w:t>
            </w:r>
            <w:r w:rsidR="00554BCA" w:rsidRPr="000117C8">
              <w:rPr>
                <w:b/>
              </w:rPr>
              <w:t>.</w:t>
            </w:r>
          </w:p>
        </w:tc>
        <w:tc>
          <w:tcPr>
            <w:tcW w:w="3795" w:type="dxa"/>
            <w:shd w:val="clear" w:color="auto" w:fill="auto"/>
          </w:tcPr>
          <w:p w14:paraId="0FF2D94E" w14:textId="77777777" w:rsidR="00554BCA" w:rsidRPr="000117C8" w:rsidRDefault="00554BCA" w:rsidP="00554BCA">
            <w:pPr>
              <w:spacing w:after="0" w:line="240" w:lineRule="auto"/>
              <w:jc w:val="center"/>
              <w:rPr>
                <w:b/>
                <w:bCs/>
              </w:rPr>
            </w:pPr>
            <w:r w:rsidRPr="000117C8">
              <w:rPr>
                <w:b/>
                <w:bCs/>
              </w:rPr>
              <w:t xml:space="preserve">Kritērijs: </w:t>
            </w:r>
            <w:bookmarkStart w:id="1" w:name="_Hlk125618885"/>
            <w:r w:rsidRPr="00874704">
              <w:rPr>
                <w:b/>
                <w:bCs/>
              </w:rPr>
              <w:t>Produkta gatavības līmenis</w:t>
            </w:r>
            <w:bookmarkEnd w:id="1"/>
          </w:p>
        </w:tc>
        <w:tc>
          <w:tcPr>
            <w:tcW w:w="4953" w:type="dxa"/>
            <w:shd w:val="clear" w:color="auto" w:fill="auto"/>
          </w:tcPr>
          <w:p w14:paraId="72873AAF" w14:textId="1C5AB1E8" w:rsidR="00554BCA" w:rsidRPr="000117C8" w:rsidRDefault="00554BCA" w:rsidP="00554BCA">
            <w:pPr>
              <w:spacing w:after="0" w:line="240" w:lineRule="auto"/>
              <w:rPr>
                <w:b/>
              </w:rPr>
            </w:pPr>
            <w:r w:rsidRPr="000117C8">
              <w:t>Atbilst / Neatbilst</w:t>
            </w:r>
          </w:p>
        </w:tc>
      </w:tr>
      <w:tr w:rsidR="00554BCA" w:rsidRPr="00E74C9B" w14:paraId="597C3056" w14:textId="77777777" w:rsidTr="00291596">
        <w:tc>
          <w:tcPr>
            <w:tcW w:w="608" w:type="dxa"/>
            <w:shd w:val="clear" w:color="auto" w:fill="auto"/>
          </w:tcPr>
          <w:p w14:paraId="4F020F87" w14:textId="7B602E79" w:rsidR="00554BCA" w:rsidRPr="008E040A" w:rsidRDefault="00F70245" w:rsidP="00554BCA">
            <w:pPr>
              <w:spacing w:after="0" w:line="240" w:lineRule="auto"/>
              <w:rPr>
                <w:b/>
              </w:rPr>
            </w:pPr>
            <w:r>
              <w:rPr>
                <w:b/>
              </w:rPr>
              <w:t>3</w:t>
            </w:r>
            <w:r w:rsidR="00554BCA" w:rsidRPr="008E040A">
              <w:rPr>
                <w:b/>
              </w:rPr>
              <w:t>.1.</w:t>
            </w:r>
          </w:p>
        </w:tc>
        <w:tc>
          <w:tcPr>
            <w:tcW w:w="3795" w:type="dxa"/>
            <w:shd w:val="clear" w:color="auto" w:fill="auto"/>
          </w:tcPr>
          <w:p w14:paraId="1E90D2A1" w14:textId="08424595" w:rsidR="00554BCA" w:rsidRPr="008E040A" w:rsidRDefault="00554BCA" w:rsidP="00554BCA">
            <w:pPr>
              <w:spacing w:after="0" w:line="240" w:lineRule="auto"/>
            </w:pPr>
            <w:r w:rsidRPr="00733D30">
              <w:rPr>
                <w:u w:val="single"/>
              </w:rPr>
              <w:t>Apsvērums:</w:t>
            </w:r>
            <w:r w:rsidRPr="008E040A">
              <w:t xml:space="preserve"> </w:t>
            </w:r>
            <w:r w:rsidRPr="003E562C">
              <w:t xml:space="preserve">īstenojot projektu </w:t>
            </w:r>
            <w:r w:rsidR="00A47C1D">
              <w:t>tiks</w:t>
            </w:r>
            <w:r w:rsidRPr="003E562C">
              <w:t xml:space="preserve"> sasniegti projekta iesniegumā paredzētie rezultāti, notiks inovāciju izstrāde, tiks radīta tehnoloģija, process, pakalpojums vai inovatīvā produkta prototips, kas </w:t>
            </w:r>
            <w:r w:rsidRPr="00645BEA">
              <w:t>atbilst tehnoloģiju gatavības līmeņiem</w:t>
            </w:r>
            <w:r w:rsidR="009E1AB5">
              <w:t xml:space="preserve"> – </w:t>
            </w:r>
            <w:r w:rsidRPr="00645BEA">
              <w:t xml:space="preserve"> T</w:t>
            </w:r>
            <w:r w:rsidR="009E1AB5">
              <w:t>G</w:t>
            </w:r>
            <w:r w:rsidRPr="00645BEA">
              <w:t>L8; T</w:t>
            </w:r>
            <w:r w:rsidR="009E1AB5">
              <w:t>G</w:t>
            </w:r>
            <w:r w:rsidRPr="00645BEA">
              <w:t>L9</w:t>
            </w:r>
            <w:r>
              <w:t>.</w:t>
            </w:r>
          </w:p>
        </w:tc>
        <w:tc>
          <w:tcPr>
            <w:tcW w:w="4953" w:type="dxa"/>
            <w:vMerge w:val="restart"/>
            <w:shd w:val="clear" w:color="auto" w:fill="auto"/>
          </w:tcPr>
          <w:p w14:paraId="4E7E2C74" w14:textId="16D4F4DD" w:rsidR="00554BCA" w:rsidRPr="00CB737B" w:rsidRDefault="00554BCA" w:rsidP="00554BCA">
            <w:pPr>
              <w:spacing w:after="0" w:line="240" w:lineRule="auto"/>
              <w:rPr>
                <w:i/>
                <w:iCs/>
              </w:rPr>
            </w:pPr>
            <w:r w:rsidRPr="00CB737B">
              <w:rPr>
                <w:i/>
                <w:iCs/>
              </w:rPr>
              <w:t>Eksperts pamato sniegto vērtējumu “Atbilst</w:t>
            </w:r>
            <w:r>
              <w:rPr>
                <w:i/>
                <w:iCs/>
              </w:rPr>
              <w:t>”</w:t>
            </w:r>
            <w:r w:rsidR="009E1AB5">
              <w:rPr>
                <w:i/>
                <w:iCs/>
              </w:rPr>
              <w:t xml:space="preserve"> </w:t>
            </w:r>
            <w:r w:rsidRPr="00CB737B">
              <w:rPr>
                <w:i/>
                <w:iCs/>
              </w:rPr>
              <w:t xml:space="preserve">/ </w:t>
            </w:r>
            <w:r>
              <w:rPr>
                <w:i/>
                <w:iCs/>
              </w:rPr>
              <w:t>“</w:t>
            </w:r>
            <w:r w:rsidRPr="00CB737B">
              <w:rPr>
                <w:i/>
                <w:iCs/>
              </w:rPr>
              <w:t>Neatbilst</w:t>
            </w:r>
            <w:r>
              <w:rPr>
                <w:i/>
                <w:iCs/>
              </w:rPr>
              <w:t>”</w:t>
            </w:r>
            <w:r w:rsidRPr="00CB737B">
              <w:rPr>
                <w:i/>
                <w:iCs/>
              </w:rPr>
              <w:t xml:space="preserve">, ņemot vērā kritērija izpildi kopumā un kritērija katra apsvēruma </w:t>
            </w:r>
            <w:r w:rsidRPr="00BF0B8B">
              <w:rPr>
                <w:i/>
                <w:iCs/>
              </w:rPr>
              <w:t>izpildi un sniedzot vērtējumu, vai plānotās inovācijas atbilst T</w:t>
            </w:r>
            <w:r w:rsidR="009E1AB5">
              <w:rPr>
                <w:i/>
                <w:iCs/>
              </w:rPr>
              <w:t>G</w:t>
            </w:r>
            <w:r w:rsidRPr="00BF0B8B">
              <w:rPr>
                <w:i/>
                <w:iCs/>
              </w:rPr>
              <w:t>L8 vai T</w:t>
            </w:r>
            <w:r w:rsidR="009E1AB5">
              <w:rPr>
                <w:i/>
                <w:iCs/>
              </w:rPr>
              <w:t>G</w:t>
            </w:r>
            <w:r w:rsidRPr="00BF0B8B">
              <w:rPr>
                <w:i/>
                <w:iCs/>
              </w:rPr>
              <w:t xml:space="preserve">L9. </w:t>
            </w:r>
          </w:p>
        </w:tc>
      </w:tr>
      <w:tr w:rsidR="00554BCA" w:rsidRPr="00E74C9B" w14:paraId="5D5373EB" w14:textId="77777777" w:rsidTr="00291596">
        <w:tc>
          <w:tcPr>
            <w:tcW w:w="608" w:type="dxa"/>
            <w:shd w:val="clear" w:color="auto" w:fill="auto"/>
          </w:tcPr>
          <w:p w14:paraId="0C57370D" w14:textId="436796FE" w:rsidR="00554BCA" w:rsidRPr="008E040A" w:rsidRDefault="00F70245" w:rsidP="00554BCA">
            <w:pPr>
              <w:spacing w:after="0" w:line="240" w:lineRule="auto"/>
              <w:rPr>
                <w:b/>
              </w:rPr>
            </w:pPr>
            <w:r>
              <w:rPr>
                <w:b/>
              </w:rPr>
              <w:t>3</w:t>
            </w:r>
            <w:r w:rsidR="00554BCA" w:rsidRPr="008E040A">
              <w:rPr>
                <w:b/>
              </w:rPr>
              <w:t>.2.</w:t>
            </w:r>
          </w:p>
        </w:tc>
        <w:tc>
          <w:tcPr>
            <w:tcW w:w="3795" w:type="dxa"/>
            <w:shd w:val="clear" w:color="auto" w:fill="auto"/>
          </w:tcPr>
          <w:p w14:paraId="38CF76D2" w14:textId="1856CCFD" w:rsidR="00554BCA" w:rsidRPr="008E040A" w:rsidRDefault="00554BCA" w:rsidP="00554BCA">
            <w:pPr>
              <w:spacing w:after="0" w:line="240" w:lineRule="auto"/>
            </w:pPr>
            <w:r w:rsidRPr="009C7A66">
              <w:rPr>
                <w:u w:val="single"/>
              </w:rPr>
              <w:t>Apsvērums:</w:t>
            </w:r>
            <w:r w:rsidRPr="008E040A">
              <w:t xml:space="preserve"> </w:t>
            </w:r>
            <w:r w:rsidRPr="003E562C">
              <w:t>vai izstrādātā inovācija un ar to saistītās iegūtās zināšanas un prasmes ir īstenojamas attiecīgā komersanta (projekta pieteicēja) ietvaros, nodrošinot iegūto inovāciju risinājumu ilgtspēju</w:t>
            </w:r>
            <w:r>
              <w:t>.</w:t>
            </w:r>
          </w:p>
        </w:tc>
        <w:tc>
          <w:tcPr>
            <w:tcW w:w="4953" w:type="dxa"/>
            <w:vMerge/>
            <w:shd w:val="clear" w:color="auto" w:fill="auto"/>
          </w:tcPr>
          <w:p w14:paraId="0A0E2FFB" w14:textId="77777777" w:rsidR="00554BCA" w:rsidRPr="008E040A" w:rsidRDefault="00554BCA" w:rsidP="00554BCA">
            <w:pPr>
              <w:spacing w:after="0" w:line="240" w:lineRule="auto"/>
              <w:rPr>
                <w:i/>
                <w:iCs/>
                <w:highlight w:val="yellow"/>
              </w:rPr>
            </w:pPr>
          </w:p>
        </w:tc>
      </w:tr>
      <w:tr w:rsidR="00554BCA" w:rsidRPr="00E74C9B" w14:paraId="054C0B2A" w14:textId="77777777" w:rsidTr="00291596">
        <w:trPr>
          <w:trHeight w:val="1515"/>
        </w:trPr>
        <w:tc>
          <w:tcPr>
            <w:tcW w:w="608" w:type="dxa"/>
            <w:shd w:val="clear" w:color="auto" w:fill="auto"/>
          </w:tcPr>
          <w:p w14:paraId="6592E000" w14:textId="59902707" w:rsidR="00554BCA" w:rsidRPr="008E040A" w:rsidRDefault="00F70245" w:rsidP="00554BCA">
            <w:pPr>
              <w:spacing w:after="0" w:line="240" w:lineRule="auto"/>
              <w:rPr>
                <w:b/>
              </w:rPr>
            </w:pPr>
            <w:r>
              <w:rPr>
                <w:b/>
              </w:rPr>
              <w:lastRenderedPageBreak/>
              <w:t>3</w:t>
            </w:r>
            <w:r w:rsidR="00554BCA" w:rsidRPr="008E040A">
              <w:rPr>
                <w:b/>
              </w:rPr>
              <w:t>.3.</w:t>
            </w:r>
          </w:p>
        </w:tc>
        <w:tc>
          <w:tcPr>
            <w:tcW w:w="3795" w:type="dxa"/>
            <w:shd w:val="clear" w:color="auto" w:fill="auto"/>
          </w:tcPr>
          <w:p w14:paraId="2AA531E7" w14:textId="407DD47D" w:rsidR="00554BCA" w:rsidRPr="008E040A" w:rsidRDefault="00554BCA" w:rsidP="00554BCA">
            <w:pPr>
              <w:spacing w:after="0" w:line="240" w:lineRule="auto"/>
            </w:pPr>
            <w:r w:rsidRPr="00065D37">
              <w:rPr>
                <w:u w:val="single"/>
              </w:rPr>
              <w:t>Apsvērums:</w:t>
            </w:r>
            <w:r w:rsidRPr="00065D37">
              <w:t xml:space="preserve"> vai projekta iesniedzēja nosauktie inovatīvo risinājumu jeb procesa, pakalpojumu vai produktu inovāciju ietekmes veidi (</w:t>
            </w:r>
            <w:r w:rsidRPr="00065D37">
              <w:rPr>
                <w:rStyle w:val="cf01"/>
                <w:rFonts w:ascii="Times New Roman" w:hAnsi="Times New Roman" w:cs="Times New Roman"/>
                <w:sz w:val="24"/>
                <w:szCs w:val="24"/>
              </w:rPr>
              <w:t>izmaksu, enerģijas vai laika patēriņa samazinājums)</w:t>
            </w:r>
            <w:r w:rsidRPr="00065D37">
              <w:t xml:space="preserve"> ir ticami un iesniegumā atbilstoši pamatoti.</w:t>
            </w:r>
          </w:p>
        </w:tc>
        <w:tc>
          <w:tcPr>
            <w:tcW w:w="4953" w:type="dxa"/>
            <w:vMerge/>
          </w:tcPr>
          <w:p w14:paraId="1E7839BF" w14:textId="77777777" w:rsidR="00554BCA" w:rsidRPr="00E74C9B" w:rsidRDefault="00554BCA" w:rsidP="00554BCA">
            <w:pPr>
              <w:widowControl w:val="0"/>
              <w:pBdr>
                <w:top w:val="nil"/>
                <w:left w:val="nil"/>
                <w:bottom w:val="nil"/>
                <w:right w:val="nil"/>
                <w:between w:val="nil"/>
              </w:pBdr>
              <w:spacing w:after="0" w:line="240" w:lineRule="auto"/>
              <w:jc w:val="left"/>
              <w:rPr>
                <w:highlight w:val="yellow"/>
              </w:rPr>
            </w:pPr>
          </w:p>
        </w:tc>
      </w:tr>
      <w:tr w:rsidR="00554BCA" w:rsidRPr="00E74C9B" w14:paraId="5055A95C" w14:textId="77777777" w:rsidTr="00291596">
        <w:tc>
          <w:tcPr>
            <w:tcW w:w="608" w:type="dxa"/>
            <w:shd w:val="clear" w:color="auto" w:fill="auto"/>
          </w:tcPr>
          <w:p w14:paraId="5154F544" w14:textId="141BE01F" w:rsidR="00554BCA" w:rsidRPr="000117C8" w:rsidRDefault="00F70245" w:rsidP="00554BCA">
            <w:pPr>
              <w:spacing w:after="0" w:line="240" w:lineRule="auto"/>
              <w:rPr>
                <w:b/>
              </w:rPr>
            </w:pPr>
            <w:r>
              <w:rPr>
                <w:b/>
              </w:rPr>
              <w:t>4</w:t>
            </w:r>
            <w:r w:rsidR="00554BCA" w:rsidRPr="000117C8">
              <w:rPr>
                <w:b/>
              </w:rPr>
              <w:t>.</w:t>
            </w:r>
          </w:p>
        </w:tc>
        <w:tc>
          <w:tcPr>
            <w:tcW w:w="3795" w:type="dxa"/>
            <w:shd w:val="clear" w:color="auto" w:fill="auto"/>
          </w:tcPr>
          <w:p w14:paraId="43521595" w14:textId="77777777" w:rsidR="00554BCA" w:rsidRPr="000117C8" w:rsidRDefault="00554BCA" w:rsidP="00554BCA">
            <w:pPr>
              <w:spacing w:after="0" w:line="240" w:lineRule="auto"/>
              <w:jc w:val="center"/>
              <w:rPr>
                <w:b/>
                <w:bCs/>
              </w:rPr>
            </w:pPr>
            <w:r w:rsidRPr="000117C8">
              <w:rPr>
                <w:b/>
                <w:bCs/>
              </w:rPr>
              <w:t>Kritērijs: Projekta īstenošanas iespējas un nodrošinājums</w:t>
            </w:r>
          </w:p>
        </w:tc>
        <w:tc>
          <w:tcPr>
            <w:tcW w:w="4953" w:type="dxa"/>
            <w:shd w:val="clear" w:color="auto" w:fill="auto"/>
          </w:tcPr>
          <w:p w14:paraId="3F12D3D7" w14:textId="5E67CBF3" w:rsidR="00554BCA" w:rsidRPr="000117C8" w:rsidRDefault="00554BCA" w:rsidP="00554BCA">
            <w:pPr>
              <w:spacing w:after="0" w:line="240" w:lineRule="auto"/>
            </w:pPr>
            <w:r w:rsidRPr="000117C8">
              <w:t>Atbilst / Neatbilst</w:t>
            </w:r>
          </w:p>
        </w:tc>
      </w:tr>
      <w:tr w:rsidR="00554BCA" w:rsidRPr="00E74C9B" w14:paraId="1BEA7647" w14:textId="77777777" w:rsidTr="00291596">
        <w:tc>
          <w:tcPr>
            <w:tcW w:w="608" w:type="dxa"/>
            <w:shd w:val="clear" w:color="auto" w:fill="auto"/>
          </w:tcPr>
          <w:p w14:paraId="014F087D" w14:textId="031C2D13" w:rsidR="00554BCA" w:rsidRPr="00212BAB" w:rsidRDefault="00F70245" w:rsidP="00554BCA">
            <w:pPr>
              <w:spacing w:after="0" w:line="240" w:lineRule="auto"/>
              <w:rPr>
                <w:b/>
              </w:rPr>
            </w:pPr>
            <w:r>
              <w:rPr>
                <w:b/>
              </w:rPr>
              <w:t>4</w:t>
            </w:r>
            <w:r w:rsidR="00554BCA" w:rsidRPr="00212BAB">
              <w:rPr>
                <w:b/>
              </w:rPr>
              <w:t>.1.</w:t>
            </w:r>
          </w:p>
        </w:tc>
        <w:tc>
          <w:tcPr>
            <w:tcW w:w="3795" w:type="dxa"/>
            <w:shd w:val="clear" w:color="auto" w:fill="auto"/>
          </w:tcPr>
          <w:p w14:paraId="500563A0" w14:textId="65ACE8A3" w:rsidR="00554BCA" w:rsidRPr="00212BAB" w:rsidRDefault="00554BCA" w:rsidP="00554BCA">
            <w:pPr>
              <w:spacing w:after="0" w:line="240" w:lineRule="auto"/>
            </w:pPr>
            <w:r w:rsidRPr="009544E7">
              <w:rPr>
                <w:u w:val="single"/>
              </w:rPr>
              <w:t>Apsvērums:</w:t>
            </w:r>
            <w:r w:rsidRPr="00212BAB">
              <w:t xml:space="preserve"> </w:t>
            </w:r>
            <w:r w:rsidRPr="00AA41C5">
              <w:t>inovācijas izstrādes</w:t>
            </w:r>
            <w:r w:rsidR="00A47C1D">
              <w:t xml:space="preserve"> (</w:t>
            </w:r>
            <w:r w:rsidRPr="00AA41C5">
              <w:t>tehnoloģiju, procesa, pakalpojuma vi produkta inovācija, lai uzlabotu komersanta (projekta pieteicēja) produktu vai pakalpojumu efektivitāti</w:t>
            </w:r>
            <w:r w:rsidR="00A47C1D">
              <w:t>)</w:t>
            </w:r>
            <w:r w:rsidRPr="00AA41C5">
              <w:t xml:space="preserve"> darba plāna kvalitāte un tā atbilstība izvirzītajam mērķim. Paredzēts nodrošināt atbilstošu un efektīvu resursu izmantošanu; plānotie darba posmi un uzdevumi ir skaidri definēti, atbilstoši un ticami</w:t>
            </w:r>
            <w:r>
              <w:t>.</w:t>
            </w:r>
          </w:p>
        </w:tc>
        <w:tc>
          <w:tcPr>
            <w:tcW w:w="4953" w:type="dxa"/>
            <w:vMerge w:val="restart"/>
            <w:shd w:val="clear" w:color="auto" w:fill="auto"/>
          </w:tcPr>
          <w:p w14:paraId="79CBBE26" w14:textId="442F32EB" w:rsidR="00554BCA" w:rsidRDefault="00554BCA" w:rsidP="00554BCA">
            <w:pPr>
              <w:spacing w:after="0" w:line="240" w:lineRule="auto"/>
              <w:rPr>
                <w:i/>
                <w:iCs/>
              </w:rPr>
            </w:pPr>
            <w:r w:rsidRPr="00CB737B">
              <w:rPr>
                <w:i/>
                <w:iCs/>
              </w:rPr>
              <w:t>Eksperts pamato sniegto vērtējumu “Atbilst</w:t>
            </w:r>
            <w:r>
              <w:rPr>
                <w:i/>
                <w:iCs/>
              </w:rPr>
              <w:t>”</w:t>
            </w:r>
            <w:r w:rsidRPr="00CB737B">
              <w:rPr>
                <w:i/>
                <w:iCs/>
              </w:rPr>
              <w:t xml:space="preserve"> /</w:t>
            </w:r>
            <w:r w:rsidR="009E1AB5">
              <w:rPr>
                <w:i/>
                <w:iCs/>
              </w:rPr>
              <w:t xml:space="preserve"> </w:t>
            </w:r>
            <w:r>
              <w:rPr>
                <w:i/>
                <w:iCs/>
              </w:rPr>
              <w:t>“</w:t>
            </w:r>
            <w:r w:rsidRPr="00CB737B">
              <w:rPr>
                <w:i/>
                <w:iCs/>
              </w:rPr>
              <w:t>Neatbilst</w:t>
            </w:r>
            <w:r>
              <w:rPr>
                <w:i/>
                <w:iCs/>
              </w:rPr>
              <w:t>”</w:t>
            </w:r>
            <w:r w:rsidRPr="00CB737B">
              <w:rPr>
                <w:i/>
                <w:iCs/>
              </w:rPr>
              <w:t>, ņemot vērā kritērija izpildi kopumā un kritērija katra apsvēruma izpildi</w:t>
            </w:r>
            <w:r>
              <w:rPr>
                <w:i/>
                <w:iCs/>
              </w:rPr>
              <w:t xml:space="preserve"> </w:t>
            </w:r>
            <w:r w:rsidRPr="00CB737B">
              <w:rPr>
                <w:i/>
                <w:iCs/>
              </w:rPr>
              <w:t xml:space="preserve">. </w:t>
            </w:r>
          </w:p>
          <w:p w14:paraId="7F69E105" w14:textId="77777777" w:rsidR="00554BCA" w:rsidRPr="00E74C9B" w:rsidRDefault="00554BCA" w:rsidP="00520C64">
            <w:pPr>
              <w:spacing w:after="0" w:line="240" w:lineRule="auto"/>
              <w:rPr>
                <w:highlight w:val="yellow"/>
              </w:rPr>
            </w:pPr>
          </w:p>
        </w:tc>
      </w:tr>
      <w:tr w:rsidR="00554BCA" w:rsidRPr="00E74C9B" w14:paraId="0CF1FBDA" w14:textId="77777777" w:rsidTr="00291596">
        <w:trPr>
          <w:trHeight w:val="2908"/>
        </w:trPr>
        <w:tc>
          <w:tcPr>
            <w:tcW w:w="608" w:type="dxa"/>
            <w:shd w:val="clear" w:color="auto" w:fill="auto"/>
          </w:tcPr>
          <w:p w14:paraId="0CC84635" w14:textId="11AD7739" w:rsidR="00554BCA" w:rsidRPr="00212BAB" w:rsidRDefault="00F70245" w:rsidP="00554BCA">
            <w:pPr>
              <w:rPr>
                <w:b/>
              </w:rPr>
            </w:pPr>
            <w:r>
              <w:rPr>
                <w:b/>
              </w:rPr>
              <w:t>4</w:t>
            </w:r>
            <w:r w:rsidR="00554BCA" w:rsidRPr="00212BAB">
              <w:rPr>
                <w:b/>
              </w:rPr>
              <w:t>.2.</w:t>
            </w:r>
          </w:p>
        </w:tc>
        <w:tc>
          <w:tcPr>
            <w:tcW w:w="3795" w:type="dxa"/>
            <w:shd w:val="clear" w:color="auto" w:fill="auto"/>
          </w:tcPr>
          <w:p w14:paraId="7A3A0C82" w14:textId="77777777" w:rsidR="00554BCA" w:rsidRPr="00212BAB" w:rsidRDefault="00554BCA" w:rsidP="00554BCA">
            <w:pPr>
              <w:spacing w:line="240" w:lineRule="auto"/>
            </w:pPr>
            <w:r w:rsidRPr="009544E7">
              <w:rPr>
                <w:u w:val="single"/>
              </w:rPr>
              <w:t>Apsvērums:</w:t>
            </w:r>
            <w:r w:rsidRPr="00212BAB">
              <w:t xml:space="preserve"> </w:t>
            </w:r>
            <w:r w:rsidRPr="00AA41C5">
              <w:t>Paredzētais finansējums inovācijas izstrādes vai ieviešanas produktīvajā darbībā ir aprakstīts un ir atbilstošs šo darbību veikšanai. Paredzētā projekta rezultātu testēšana projekta īstenošanas laikā ir atbilstoši aprakstīta, ir nepieciešama un sniegs ieguldījumu inovācijas ieviešanā</w:t>
            </w:r>
            <w:r>
              <w:t>.</w:t>
            </w:r>
          </w:p>
        </w:tc>
        <w:tc>
          <w:tcPr>
            <w:tcW w:w="4953" w:type="dxa"/>
            <w:vMerge/>
          </w:tcPr>
          <w:p w14:paraId="1FFECC57" w14:textId="77777777" w:rsidR="00554BCA" w:rsidRPr="00E74C9B" w:rsidRDefault="00554BCA" w:rsidP="00554BCA">
            <w:pPr>
              <w:widowControl w:val="0"/>
              <w:pBdr>
                <w:top w:val="nil"/>
                <w:left w:val="nil"/>
                <w:bottom w:val="nil"/>
                <w:right w:val="nil"/>
                <w:between w:val="nil"/>
              </w:pBdr>
              <w:jc w:val="left"/>
              <w:rPr>
                <w:highlight w:val="yellow"/>
              </w:rPr>
            </w:pPr>
          </w:p>
        </w:tc>
      </w:tr>
      <w:tr w:rsidR="00554BCA" w:rsidRPr="00E74C9B" w14:paraId="28C4570F" w14:textId="77777777" w:rsidTr="00291596">
        <w:tc>
          <w:tcPr>
            <w:tcW w:w="9356" w:type="dxa"/>
            <w:gridSpan w:val="3"/>
            <w:shd w:val="clear" w:color="auto" w:fill="FFFFFF" w:themeFill="background1"/>
          </w:tcPr>
          <w:p w14:paraId="6B1F3F17" w14:textId="5F79FC2A" w:rsidR="00554BCA" w:rsidRPr="005271E2" w:rsidRDefault="00554BCA" w:rsidP="00554BCA">
            <w:pPr>
              <w:widowControl w:val="0"/>
              <w:pBdr>
                <w:top w:val="nil"/>
                <w:left w:val="nil"/>
                <w:bottom w:val="nil"/>
                <w:right w:val="nil"/>
                <w:between w:val="nil"/>
              </w:pBdr>
              <w:jc w:val="left"/>
            </w:pPr>
            <w:r w:rsidRPr="005271E2">
              <w:t>Datums:</w:t>
            </w:r>
          </w:p>
        </w:tc>
      </w:tr>
    </w:tbl>
    <w:p w14:paraId="0F4C9E1D" w14:textId="77777777" w:rsidR="00452B9E" w:rsidRPr="00E74C9B" w:rsidRDefault="00452B9E" w:rsidP="00452B9E"/>
    <w:p w14:paraId="095A72D7" w14:textId="77777777" w:rsidR="00452B9E" w:rsidRDefault="00452B9E" w:rsidP="00452B9E"/>
    <w:p w14:paraId="0000DDAF" w14:textId="77777777" w:rsidR="00046D46" w:rsidRDefault="00046D46"/>
    <w:sectPr w:rsidR="00046D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C57B9"/>
    <w:multiLevelType w:val="hybridMultilevel"/>
    <w:tmpl w:val="562435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359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9E"/>
    <w:rsid w:val="0004070E"/>
    <w:rsid w:val="00042A5F"/>
    <w:rsid w:val="00046D46"/>
    <w:rsid w:val="00065D37"/>
    <w:rsid w:val="000A7657"/>
    <w:rsid w:val="00333CC7"/>
    <w:rsid w:val="0034187A"/>
    <w:rsid w:val="00452B9E"/>
    <w:rsid w:val="00477793"/>
    <w:rsid w:val="0048670E"/>
    <w:rsid w:val="00514CAC"/>
    <w:rsid w:val="00520C64"/>
    <w:rsid w:val="00524785"/>
    <w:rsid w:val="00554BCA"/>
    <w:rsid w:val="005E6520"/>
    <w:rsid w:val="006003DB"/>
    <w:rsid w:val="0060518F"/>
    <w:rsid w:val="006312E6"/>
    <w:rsid w:val="006859CB"/>
    <w:rsid w:val="00751C6F"/>
    <w:rsid w:val="00807276"/>
    <w:rsid w:val="00876C99"/>
    <w:rsid w:val="008C5B7C"/>
    <w:rsid w:val="00907A21"/>
    <w:rsid w:val="009C19EA"/>
    <w:rsid w:val="009C5348"/>
    <w:rsid w:val="009E1AB5"/>
    <w:rsid w:val="00A02C20"/>
    <w:rsid w:val="00A47C1D"/>
    <w:rsid w:val="00AB352E"/>
    <w:rsid w:val="00C22387"/>
    <w:rsid w:val="00DC6F93"/>
    <w:rsid w:val="00DF2EEE"/>
    <w:rsid w:val="00E35AD4"/>
    <w:rsid w:val="00E95DE8"/>
    <w:rsid w:val="00EB4D46"/>
    <w:rsid w:val="00F1537B"/>
    <w:rsid w:val="00F70245"/>
    <w:rsid w:val="00F8785A"/>
    <w:rsid w:val="00FF0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7AB"/>
  <w15:chartTrackingRefBased/>
  <w15:docId w15:val="{974FB525-A61F-4626-ABAB-2D915A31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2B9E"/>
    <w:pPr>
      <w:spacing w:after="200" w:line="276" w:lineRule="auto"/>
      <w:jc w:val="both"/>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452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52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52B9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52B9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52B9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52B9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52B9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52B9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52B9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2B9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52B9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52B9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52B9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52B9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52B9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52B9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52B9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52B9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52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52B9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52B9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52B9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52B9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52B9E"/>
    <w:rPr>
      <w:i/>
      <w:iCs/>
      <w:color w:val="404040" w:themeColor="text1" w:themeTint="BF"/>
    </w:rPr>
  </w:style>
  <w:style w:type="paragraph" w:styleId="Sarakstarindkopa">
    <w:name w:val="List Paragraph"/>
    <w:basedOn w:val="Parasts"/>
    <w:uiPriority w:val="34"/>
    <w:qFormat/>
    <w:rsid w:val="00452B9E"/>
    <w:pPr>
      <w:ind w:left="720"/>
      <w:contextualSpacing/>
    </w:pPr>
  </w:style>
  <w:style w:type="character" w:styleId="Intensvsizclums">
    <w:name w:val="Intense Emphasis"/>
    <w:basedOn w:val="Noklusjumarindkopasfonts"/>
    <w:uiPriority w:val="21"/>
    <w:qFormat/>
    <w:rsid w:val="00452B9E"/>
    <w:rPr>
      <w:i/>
      <w:iCs/>
      <w:color w:val="0F4761" w:themeColor="accent1" w:themeShade="BF"/>
    </w:rPr>
  </w:style>
  <w:style w:type="paragraph" w:styleId="Intensvscitts">
    <w:name w:val="Intense Quote"/>
    <w:basedOn w:val="Parasts"/>
    <w:next w:val="Parasts"/>
    <w:link w:val="IntensvscittsRakstz"/>
    <w:uiPriority w:val="30"/>
    <w:qFormat/>
    <w:rsid w:val="00452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52B9E"/>
    <w:rPr>
      <w:i/>
      <w:iCs/>
      <w:color w:val="0F4761" w:themeColor="accent1" w:themeShade="BF"/>
    </w:rPr>
  </w:style>
  <w:style w:type="character" w:styleId="Intensvaatsauce">
    <w:name w:val="Intense Reference"/>
    <w:basedOn w:val="Noklusjumarindkopasfonts"/>
    <w:uiPriority w:val="32"/>
    <w:qFormat/>
    <w:rsid w:val="00452B9E"/>
    <w:rPr>
      <w:b/>
      <w:bCs/>
      <w:smallCaps/>
      <w:color w:val="0F4761" w:themeColor="accent1" w:themeShade="BF"/>
      <w:spacing w:val="5"/>
    </w:rPr>
  </w:style>
  <w:style w:type="character" w:customStyle="1" w:styleId="cf01">
    <w:name w:val="cf01"/>
    <w:basedOn w:val="Noklusjumarindkopasfonts"/>
    <w:rsid w:val="00452B9E"/>
    <w:rPr>
      <w:rFonts w:ascii="Segoe UI" w:hAnsi="Segoe UI" w:cs="Segoe UI" w:hint="default"/>
      <w:sz w:val="18"/>
      <w:szCs w:val="18"/>
    </w:rPr>
  </w:style>
  <w:style w:type="paragraph" w:styleId="Bezatstarpm">
    <w:name w:val="No Spacing"/>
    <w:uiPriority w:val="1"/>
    <w:qFormat/>
    <w:rsid w:val="00452B9E"/>
    <w:pPr>
      <w:spacing w:after="0" w:line="240" w:lineRule="auto"/>
    </w:pPr>
    <w:rPr>
      <w:rFonts w:ascii="Calibri" w:eastAsia="ヒラギノ角ゴ Pro W3" w:hAnsi="Calibri" w:cs="Times New Roman"/>
      <w:color w:val="000000"/>
      <w:kern w:val="0"/>
      <w:szCs w:val="24"/>
      <w14:ligatures w14:val="none"/>
    </w:rPr>
  </w:style>
  <w:style w:type="paragraph" w:styleId="Prskatjums">
    <w:name w:val="Revision"/>
    <w:hidden/>
    <w:uiPriority w:val="99"/>
    <w:semiHidden/>
    <w:rsid w:val="00A02C20"/>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3072</Words>
  <Characters>1752</Characters>
  <Application>Microsoft Office Word</Application>
  <DocSecurity>0</DocSecurity>
  <Lines>14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Supe</dc:creator>
  <cp:keywords/>
  <dc:description/>
  <cp:lastModifiedBy>Ilze Ūdre</cp:lastModifiedBy>
  <cp:revision>28</cp:revision>
  <dcterms:created xsi:type="dcterms:W3CDTF">2025-02-17T12:47:00Z</dcterms:created>
  <dcterms:modified xsi:type="dcterms:W3CDTF">2025-03-24T06:51:00Z</dcterms:modified>
</cp:coreProperties>
</file>