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6ACE" w14:textId="0FAE2CB4" w:rsidR="00342D6F" w:rsidRDefault="00342D6F" w:rsidP="005C6EA1">
      <w:pPr>
        <w:pStyle w:val="Default"/>
        <w:spacing w:after="20" w:line="276" w:lineRule="auto"/>
        <w:jc w:val="center"/>
        <w:rPr>
          <w:b/>
          <w:bCs/>
          <w:sz w:val="22"/>
          <w:szCs w:val="22"/>
        </w:rPr>
      </w:pPr>
      <w:r w:rsidRPr="003B6518">
        <w:rPr>
          <w:b/>
          <w:bCs/>
          <w:sz w:val="22"/>
          <w:szCs w:val="22"/>
        </w:rPr>
        <w:t>ANOTĀCIJA</w:t>
      </w:r>
    </w:p>
    <w:p w14:paraId="27F5B289" w14:textId="17CEEDA4" w:rsidR="00995E26" w:rsidRDefault="00995E26" w:rsidP="005C6EA1">
      <w:pPr>
        <w:spacing w:after="20"/>
        <w:rPr>
          <w:rFonts w:eastAsiaTheme="minorHAnsi" w:cs="Arial"/>
          <w:b/>
          <w:bCs/>
          <w:color w:val="000000"/>
          <w:sz w:val="22"/>
          <w:szCs w:val="22"/>
          <w:lang w:eastAsia="en-US"/>
        </w:rPr>
      </w:pPr>
    </w:p>
    <w:p w14:paraId="4A556218" w14:textId="5E1832B5" w:rsidR="00995E26" w:rsidRDefault="00995E26" w:rsidP="005C6EA1">
      <w:pPr>
        <w:pStyle w:val="Default"/>
        <w:spacing w:after="160"/>
        <w:jc w:val="both"/>
        <w:rPr>
          <w:sz w:val="22"/>
          <w:szCs w:val="22"/>
        </w:rPr>
      </w:pPr>
      <w:bookmarkStart w:id="0" w:name="_Hlk58710254"/>
      <w:r w:rsidRPr="002224C4">
        <w:rPr>
          <w:sz w:val="22"/>
          <w:szCs w:val="22"/>
        </w:rPr>
        <w:t>602P sērijas daudzdzīvokļu dzīvojamo māju projektēšana Latvijā turpināta uz Ļeņingradas (pašlaik -</w:t>
      </w:r>
      <w:r>
        <w:rPr>
          <w:sz w:val="22"/>
          <w:szCs w:val="22"/>
        </w:rPr>
        <w:t xml:space="preserve"> Sanktp</w:t>
      </w:r>
      <w:r w:rsidRPr="002224C4">
        <w:rPr>
          <w:sz w:val="22"/>
          <w:szCs w:val="22"/>
        </w:rPr>
        <w:t xml:space="preserve">ēterburga) projektēšanas institūta </w:t>
      </w:r>
      <w:bookmarkStart w:id="1" w:name="_Hlk120024970"/>
      <w:r w:rsidRPr="002224C4">
        <w:rPr>
          <w:spacing w:val="2"/>
          <w:sz w:val="22"/>
          <w:szCs w:val="22"/>
          <w:shd w:val="clear" w:color="auto" w:fill="FFFFFF"/>
        </w:rPr>
        <w:t xml:space="preserve">1Лг-602Р </w:t>
      </w:r>
      <w:bookmarkEnd w:id="1"/>
      <w:r w:rsidRPr="002224C4">
        <w:rPr>
          <w:spacing w:val="2"/>
          <w:sz w:val="22"/>
          <w:szCs w:val="22"/>
          <w:shd w:val="clear" w:color="auto" w:fill="FFFFFF"/>
        </w:rPr>
        <w:t xml:space="preserve">sērijas </w:t>
      </w:r>
      <w:r w:rsidRPr="002224C4">
        <w:rPr>
          <w:sz w:val="22"/>
          <w:szCs w:val="22"/>
        </w:rPr>
        <w:t>tipveida projekta bāzes. Projektēšanas institūts “</w:t>
      </w:r>
      <w:proofErr w:type="spellStart"/>
      <w:r w:rsidRPr="002224C4">
        <w:rPr>
          <w:sz w:val="22"/>
          <w:szCs w:val="22"/>
        </w:rPr>
        <w:t>Latgiprogorstroj</w:t>
      </w:r>
      <w:proofErr w:type="spellEnd"/>
      <w:r w:rsidRPr="002224C4">
        <w:rPr>
          <w:sz w:val="22"/>
          <w:szCs w:val="22"/>
        </w:rPr>
        <w:t>” (vēlāk “Pilsētprojekts”) veica šis sērijas tipveida projekta vairākas korekcijas, izstrādājot dažādus variantus no 1973. līdz pat 1987.</w:t>
      </w:r>
      <w:r>
        <w:rPr>
          <w:sz w:val="22"/>
          <w:szCs w:val="22"/>
        </w:rPr>
        <w:t xml:space="preserve"> </w:t>
      </w:r>
      <w:r w:rsidRPr="002224C4">
        <w:rPr>
          <w:sz w:val="22"/>
          <w:szCs w:val="22"/>
        </w:rPr>
        <w:t>gadam, kad bija izstrādāts š</w:t>
      </w:r>
      <w:r>
        <w:rPr>
          <w:sz w:val="22"/>
          <w:szCs w:val="22"/>
        </w:rPr>
        <w:t>ī</w:t>
      </w:r>
      <w:r w:rsidRPr="002224C4">
        <w:rPr>
          <w:sz w:val="22"/>
          <w:szCs w:val="22"/>
        </w:rPr>
        <w:t xml:space="preserve">s sērijas pēdējais, 10 stāvu sekcijas variants. </w:t>
      </w:r>
    </w:p>
    <w:p w14:paraId="48A1049D" w14:textId="77777777" w:rsidR="00995E26" w:rsidRPr="002224C4" w:rsidRDefault="00995E26" w:rsidP="005C6EA1">
      <w:pPr>
        <w:pStyle w:val="Default"/>
        <w:spacing w:after="160"/>
        <w:jc w:val="both"/>
        <w:rPr>
          <w:sz w:val="22"/>
          <w:szCs w:val="22"/>
        </w:rPr>
      </w:pPr>
      <w:r w:rsidRPr="002224C4">
        <w:rPr>
          <w:sz w:val="22"/>
          <w:szCs w:val="22"/>
        </w:rPr>
        <w:t>1Лг-602Р sērijas daudzdzīvokļu dzīvojamās ēkas būvētas dažādās Latvijas pilsētās – Rīgā, Kauguros, Jelgavā, Ogrē, kā arī tādās apdzīvotās vietās, kā Olaine un Salaspils.</w:t>
      </w:r>
      <w:r>
        <w:rPr>
          <w:sz w:val="22"/>
          <w:szCs w:val="22"/>
        </w:rPr>
        <w:t xml:space="preserve"> S</w:t>
      </w:r>
      <w:r w:rsidRPr="002224C4">
        <w:rPr>
          <w:sz w:val="22"/>
          <w:szCs w:val="22"/>
        </w:rPr>
        <w:t>ērijas pirmās ēkas bija uzbūvēta</w:t>
      </w:r>
      <w:r>
        <w:rPr>
          <w:sz w:val="22"/>
          <w:szCs w:val="22"/>
        </w:rPr>
        <w:t>s</w:t>
      </w:r>
      <w:r w:rsidRPr="002224C4">
        <w:rPr>
          <w:sz w:val="22"/>
          <w:szCs w:val="22"/>
        </w:rPr>
        <w:t xml:space="preserve"> 1971.gadā un vienas no pēdējām </w:t>
      </w:r>
      <w:r>
        <w:rPr>
          <w:sz w:val="22"/>
          <w:szCs w:val="22"/>
        </w:rPr>
        <w:t>–</w:t>
      </w:r>
      <w:r w:rsidRPr="002224C4">
        <w:rPr>
          <w:sz w:val="22"/>
          <w:szCs w:val="22"/>
        </w:rPr>
        <w:t xml:space="preserve"> </w:t>
      </w:r>
      <w:r>
        <w:rPr>
          <w:sz w:val="22"/>
          <w:szCs w:val="22"/>
        </w:rPr>
        <w:t xml:space="preserve">Pļavniekos un </w:t>
      </w:r>
      <w:proofErr w:type="spellStart"/>
      <w:r w:rsidRPr="002224C4">
        <w:rPr>
          <w:sz w:val="22"/>
          <w:szCs w:val="22"/>
        </w:rPr>
        <w:t>Dreiliņu</w:t>
      </w:r>
      <w:proofErr w:type="spellEnd"/>
      <w:r w:rsidRPr="002224C4">
        <w:rPr>
          <w:sz w:val="22"/>
          <w:szCs w:val="22"/>
        </w:rPr>
        <w:t xml:space="preserve"> mikrorajonā, Rīgas dienvidu apkaimē,</w:t>
      </w:r>
      <w:r>
        <w:rPr>
          <w:sz w:val="22"/>
          <w:szCs w:val="22"/>
        </w:rPr>
        <w:t xml:space="preserve"> kā arī Jelgavā un Ogrē,</w:t>
      </w:r>
      <w:r w:rsidRPr="002224C4">
        <w:rPr>
          <w:sz w:val="22"/>
          <w:szCs w:val="22"/>
        </w:rPr>
        <w:t xml:space="preserve"> 19</w:t>
      </w:r>
      <w:r>
        <w:rPr>
          <w:sz w:val="22"/>
          <w:szCs w:val="22"/>
        </w:rPr>
        <w:t>9</w:t>
      </w:r>
      <w:r w:rsidRPr="002224C4">
        <w:rPr>
          <w:sz w:val="22"/>
          <w:szCs w:val="22"/>
        </w:rPr>
        <w:t>0-to gadu</w:t>
      </w:r>
      <w:r>
        <w:rPr>
          <w:sz w:val="22"/>
          <w:szCs w:val="22"/>
        </w:rPr>
        <w:t xml:space="preserve"> sākumā</w:t>
      </w:r>
      <w:r w:rsidRPr="002224C4">
        <w:rPr>
          <w:sz w:val="22"/>
          <w:szCs w:val="22"/>
        </w:rPr>
        <w:t xml:space="preserve">. Pirmajām uzbūvētajām Ēkām faktiskais ekspluatācijas laiks ir 51 gads, kas tuvojas normatīvajam kalpošanas ilgumam. </w:t>
      </w:r>
    </w:p>
    <w:p w14:paraId="643AE954" w14:textId="77777777" w:rsidR="00995E26" w:rsidRPr="002224C4" w:rsidRDefault="00995E26" w:rsidP="005C6EA1">
      <w:pPr>
        <w:pStyle w:val="Default"/>
        <w:spacing w:after="160"/>
        <w:jc w:val="both"/>
        <w:rPr>
          <w:sz w:val="22"/>
          <w:szCs w:val="22"/>
          <w:highlight w:val="lightGray"/>
        </w:rPr>
      </w:pPr>
      <w:bookmarkStart w:id="2" w:name="_Hlk58364847"/>
      <w:r w:rsidRPr="002224C4">
        <w:rPr>
          <w:sz w:val="22"/>
          <w:szCs w:val="22"/>
        </w:rPr>
        <w:t>Līguma izpildē ēku apsekošana un izpēte veikta 18 ēkām – 15 deviņstāvu un 3 sešstāvu ēkām Rīgas galvaspilsētās mikrorajonos – Imantā,  Pļavniekos, kā arī Jelgavā, Ogrē un Salaspilī. Izpēte veikta mājām, kuras bija nodotas ekspluatācijā laika posmā no 1974. līdz 2006. gadam, Vienas no vecākajām pētītām ēkām būvētas Slāvu ielā (būvniecības laikā - Stahanoviešu iela)</w:t>
      </w:r>
      <w:r>
        <w:rPr>
          <w:sz w:val="22"/>
          <w:szCs w:val="22"/>
        </w:rPr>
        <w:t>, Rīgā</w:t>
      </w:r>
      <w:r w:rsidRPr="002224C4">
        <w:rPr>
          <w:sz w:val="22"/>
          <w:szCs w:val="22"/>
        </w:rPr>
        <w:t xml:space="preserve">. </w:t>
      </w:r>
    </w:p>
    <w:p w14:paraId="431623BE" w14:textId="77777777" w:rsidR="00995E26" w:rsidRPr="002224C4" w:rsidRDefault="00995E26" w:rsidP="005C6EA1">
      <w:pPr>
        <w:pStyle w:val="Default"/>
        <w:spacing w:after="160"/>
        <w:jc w:val="both"/>
        <w:rPr>
          <w:sz w:val="22"/>
          <w:szCs w:val="22"/>
        </w:rPr>
      </w:pPr>
      <w:r w:rsidRPr="002224C4">
        <w:rPr>
          <w:sz w:val="22"/>
          <w:szCs w:val="22"/>
        </w:rPr>
        <w:t xml:space="preserve">Atbilstoši Līguma Uzdevumiem, Inspecta veica ēku nesošo konstrukciju, t.sk. ārsienu starppaneļu šuvju, mezglu detalizētu izpēti un tehniskā stāvokļa novērtējumu, kā arī vertikalitātes ģeodēziskos uzmērījumus. </w:t>
      </w:r>
    </w:p>
    <w:bookmarkEnd w:id="2"/>
    <w:p w14:paraId="48311FD2" w14:textId="39EA9F1A" w:rsidR="00E544D6" w:rsidRDefault="00E544D6" w:rsidP="00E544D6">
      <w:pPr>
        <w:autoSpaceDE w:val="0"/>
        <w:autoSpaceDN w:val="0"/>
        <w:adjustRightInd w:val="0"/>
        <w:jc w:val="both"/>
        <w:rPr>
          <w:rFonts w:eastAsiaTheme="minorHAnsi" w:cs="Arial"/>
          <w:color w:val="000000"/>
          <w:sz w:val="22"/>
          <w:szCs w:val="22"/>
          <w:lang w:eastAsia="en-US"/>
        </w:rPr>
      </w:pPr>
      <w:r w:rsidRPr="00E544D6">
        <w:rPr>
          <w:rFonts w:eastAsiaTheme="minorHAnsi" w:cs="Arial"/>
          <w:color w:val="000000"/>
          <w:sz w:val="22"/>
          <w:szCs w:val="22"/>
          <w:lang w:eastAsia="en-US"/>
        </w:rPr>
        <w:t>1Лг-602Р sērijas ēku izpētes laikā pastiprināta uzmanība tika pievērsta ārsienu keramzītbetona paneļu, nesošo dzelzsbetona garensienu, šķērssienu un pārsegumu plātņu savienojumu mezglu un starppaneļu šuvju, atsegtā stiegrojuma korozijai, kā arī balkonu un lodžiju plātņu, un norobežojošo konstrukciju tehniskajam stāvoklim.</w:t>
      </w:r>
    </w:p>
    <w:p w14:paraId="78E67B63" w14:textId="77777777" w:rsidR="00E544D6" w:rsidRPr="00E544D6" w:rsidRDefault="00E544D6" w:rsidP="00E544D6">
      <w:pPr>
        <w:autoSpaceDE w:val="0"/>
        <w:autoSpaceDN w:val="0"/>
        <w:adjustRightInd w:val="0"/>
        <w:jc w:val="both"/>
        <w:rPr>
          <w:rFonts w:eastAsiaTheme="minorHAnsi" w:cs="Arial"/>
          <w:color w:val="000000"/>
          <w:sz w:val="12"/>
          <w:szCs w:val="12"/>
          <w:lang w:eastAsia="en-US"/>
        </w:rPr>
      </w:pPr>
    </w:p>
    <w:p w14:paraId="3AA3EB55" w14:textId="77777777" w:rsidR="00995E26" w:rsidRPr="002224C4" w:rsidRDefault="00995E26" w:rsidP="005C6EA1">
      <w:pPr>
        <w:spacing w:after="160"/>
        <w:jc w:val="both"/>
        <w:rPr>
          <w:rFonts w:cs="Arial"/>
          <w:sz w:val="22"/>
          <w:szCs w:val="22"/>
        </w:rPr>
      </w:pPr>
      <w:r w:rsidRPr="002224C4">
        <w:rPr>
          <w:rFonts w:cs="Arial"/>
          <w:sz w:val="22"/>
          <w:szCs w:val="22"/>
        </w:rPr>
        <w:t xml:space="preserve">Ēkām ar balkoniem izpētē tika konstatēti Projekta konstruktīvo risinājumu trūkumi un montāžas būvdarbu neprecizitātes, kā rezultātā jumta klāja plātņu balsta vietās un galos konstatēti bojājumi un deformācijas, kas ir mehāniskās stiprības un stabilitātes iespējamo zudumu pazīme. Projekta konstruktīvo nepilnību un nekvalitatīvi ražotu elementu dēļ balkona plātnēm un ekrāniem konstatēti neatgriezeniski strukturālie bojājumi. </w:t>
      </w:r>
    </w:p>
    <w:p w14:paraId="3D87E54F" w14:textId="77777777" w:rsidR="00995E26" w:rsidRPr="003439B2" w:rsidRDefault="00995E26" w:rsidP="005C6EA1">
      <w:pPr>
        <w:spacing w:after="160"/>
        <w:jc w:val="both"/>
        <w:rPr>
          <w:rFonts w:cs="Arial"/>
          <w:sz w:val="22"/>
          <w:szCs w:val="22"/>
        </w:rPr>
      </w:pPr>
      <w:r w:rsidRPr="002224C4">
        <w:rPr>
          <w:rFonts w:cs="Arial"/>
          <w:sz w:val="22"/>
          <w:szCs w:val="22"/>
        </w:rPr>
        <w:t xml:space="preserve">Dažām ēkām ar balkoniem - jumta klāja plātņu un balkonu pirmsavārijas stāvoklis, kad konstatētas negatīvas izmaiņas atsevišķu būvkonstrukciju un elementu tehniskajā stāvoklī, kuru </w:t>
      </w:r>
      <w:r w:rsidRPr="003439B2">
        <w:rPr>
          <w:rFonts w:cs="Arial"/>
          <w:sz w:val="22"/>
          <w:szCs w:val="22"/>
        </w:rPr>
        <w:t xml:space="preserve">dēļ draud iestāties pēkšņs neprognozējams, pilnīgs vai daļējs darbspējas zudums. </w:t>
      </w:r>
    </w:p>
    <w:p w14:paraId="2174E1D7" w14:textId="77777777" w:rsidR="00995E26" w:rsidRPr="002224C4" w:rsidRDefault="00995E26" w:rsidP="005C6EA1">
      <w:pPr>
        <w:spacing w:after="160"/>
        <w:jc w:val="both"/>
        <w:rPr>
          <w:rFonts w:cs="Arial"/>
          <w:sz w:val="22"/>
          <w:szCs w:val="22"/>
        </w:rPr>
      </w:pPr>
      <w:r w:rsidRPr="003439B2">
        <w:rPr>
          <w:rFonts w:cs="Arial"/>
          <w:sz w:val="22"/>
          <w:szCs w:val="22"/>
        </w:rPr>
        <w:t xml:space="preserve">Kopumā vērtējams, ka 1Лг-602Р sērijas ēkas atbilst Būvniecības likuma 9.pantā izvirzītajām prasībām par ēku mehānisko stiprību un stabilitāti, </w:t>
      </w:r>
      <w:r w:rsidRPr="003439B2">
        <w:rPr>
          <w:rFonts w:eastAsiaTheme="minorHAnsi" w:cs="Arial"/>
          <w:sz w:val="22"/>
          <w:szCs w:val="22"/>
          <w:lang w:eastAsia="en-US"/>
        </w:rPr>
        <w:t>kā arī Regulas 305/2011 1.pielikuma kritērijiem.</w:t>
      </w:r>
    </w:p>
    <w:p w14:paraId="1C08BC4A" w14:textId="77777777" w:rsidR="00995E26" w:rsidRPr="002224C4" w:rsidRDefault="00995E26" w:rsidP="005C6EA1">
      <w:pPr>
        <w:pStyle w:val="Default"/>
        <w:spacing w:after="160"/>
        <w:jc w:val="both"/>
        <w:rPr>
          <w:sz w:val="22"/>
          <w:szCs w:val="22"/>
        </w:rPr>
      </w:pPr>
      <w:bookmarkStart w:id="3" w:name="_Hlk120484324"/>
      <w:bookmarkEnd w:id="0"/>
      <w:r w:rsidRPr="002224C4">
        <w:rPr>
          <w:sz w:val="22"/>
          <w:szCs w:val="22"/>
        </w:rPr>
        <w:t>Pirmsavārijas situācijas novēršanai, tehniskā stāvokļa uzlabošanai un drošai ekspluatācijas turpināšanai, visām ēkām ar balkoniem, pēc iespējas īsākajā termiņā jāveic jumta klāja un jumta nesošo konstrukciju tehniskā apsekošana ar tehniskā stāvokļa detalizēt</w:t>
      </w:r>
      <w:r>
        <w:rPr>
          <w:sz w:val="22"/>
          <w:szCs w:val="22"/>
        </w:rPr>
        <w:t>u</w:t>
      </w:r>
      <w:r w:rsidRPr="002224C4">
        <w:rPr>
          <w:sz w:val="22"/>
          <w:szCs w:val="22"/>
        </w:rPr>
        <w:t xml:space="preserve"> novērtēšan</w:t>
      </w:r>
      <w:r>
        <w:rPr>
          <w:sz w:val="22"/>
          <w:szCs w:val="22"/>
        </w:rPr>
        <w:t>u</w:t>
      </w:r>
      <w:r w:rsidRPr="002224C4">
        <w:rPr>
          <w:sz w:val="22"/>
          <w:szCs w:val="22"/>
        </w:rPr>
        <w:t>. Atbilstoši rezultātiem, nepieciešamības gadījumā jāveic jumta klāja plātņu nostiprināšana. Balkoniem pēc novērtēšanas jāveic plātņu virsmu atjaunošana un aizsardzība pret klimatisko faktoru ietekmi vai arī plātņu un norobežojošo ekrānu demontāža un jaunu elementu izbūve, kas ir tehnoloģiski diezgan sarežģīts process, ņemot vērā balkonu izvietojumu fasādē un ēkas stāvu skaitu. Esošās konstrukcijas balkonu vietā iespējams izbūvēt franču tipa balkonus, kas ir ātrākais un lētākais risinājums, bet mainoties dzīvokļa platībai, jārēķinās ar dokumentu  sakārtošanas procesu.</w:t>
      </w:r>
      <w:r>
        <w:rPr>
          <w:sz w:val="22"/>
          <w:szCs w:val="22"/>
        </w:rPr>
        <w:t xml:space="preserve"> Ēkām ar lodžijām jāveic lodžiju stiprinājumu vizuālā pārbaude, atbilstoši rezultātiem jāuzsāk tehniskā izpēte ar mērķi noteikt </w:t>
      </w:r>
      <w:r w:rsidRPr="00A963EC">
        <w:rPr>
          <w:sz w:val="22"/>
          <w:szCs w:val="22"/>
        </w:rPr>
        <w:t>lodžiju norobežojošo</w:t>
      </w:r>
      <w:r>
        <w:rPr>
          <w:sz w:val="22"/>
          <w:szCs w:val="22"/>
        </w:rPr>
        <w:t xml:space="preserve"> elementu stabilitāti.</w:t>
      </w:r>
      <w:r w:rsidRPr="002224C4">
        <w:rPr>
          <w:sz w:val="22"/>
          <w:szCs w:val="22"/>
        </w:rPr>
        <w:t xml:space="preserve"> </w:t>
      </w:r>
    </w:p>
    <w:bookmarkEnd w:id="3"/>
    <w:p w14:paraId="787F6512" w14:textId="162C2BCA" w:rsidR="00995E26" w:rsidRPr="00995E26" w:rsidRDefault="00995E26" w:rsidP="00C4085F">
      <w:pPr>
        <w:spacing w:after="160"/>
        <w:jc w:val="both"/>
        <w:rPr>
          <w:lang w:eastAsia="en-US"/>
        </w:rPr>
      </w:pPr>
      <w:r w:rsidRPr="002224C4">
        <w:rPr>
          <w:rFonts w:cs="Arial"/>
          <w:sz w:val="22"/>
          <w:szCs w:val="22"/>
        </w:rPr>
        <w:t>Projekta konstruktīvo nepilnību un neprecīzu montāžas būvdarbu dēļ, ēkām ar balkoniem un jumta konstrukciju bez teknes, izstrādāti tipveida risinājumi, kas paredz nostiprināt jumta klāja plātnes un pārbūvēt balkon</w:t>
      </w:r>
      <w:r>
        <w:rPr>
          <w:rFonts w:cs="Arial"/>
          <w:sz w:val="22"/>
          <w:szCs w:val="22"/>
        </w:rPr>
        <w:t>us</w:t>
      </w:r>
      <w:r w:rsidRPr="002224C4">
        <w:rPr>
          <w:rFonts w:cs="Arial"/>
          <w:sz w:val="22"/>
          <w:szCs w:val="22"/>
        </w:rPr>
        <w:t>, ar mērķi novērst pirmsavārijas situācijas un to veidošanos, kā arī ēkas mehāniskās stiprības un stabilitātes nodrošināšanai.</w:t>
      </w:r>
    </w:p>
    <w:sectPr w:rsidR="00995E26" w:rsidRPr="00995E26" w:rsidSect="001F3E8B">
      <w:headerReference w:type="default" r:id="rId7"/>
      <w:footerReference w:type="default" r:id="rId8"/>
      <w:pgSz w:w="11906" w:h="16838"/>
      <w:pgMar w:top="1418" w:right="964" w:bottom="68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777A" w14:textId="77777777" w:rsidR="003435F8" w:rsidRDefault="003435F8" w:rsidP="00F157DB">
      <w:r>
        <w:separator/>
      </w:r>
    </w:p>
  </w:endnote>
  <w:endnote w:type="continuationSeparator" w:id="0">
    <w:p w14:paraId="5C760A2B" w14:textId="77777777" w:rsidR="003435F8" w:rsidRDefault="003435F8" w:rsidP="00F1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938869"/>
      <w:docPartObj>
        <w:docPartGallery w:val="Page Numbers (Bottom of Page)"/>
        <w:docPartUnique/>
      </w:docPartObj>
    </w:sdtPr>
    <w:sdtEndPr/>
    <w:sdtContent>
      <w:sdt>
        <w:sdtPr>
          <w:id w:val="-1769616900"/>
          <w:docPartObj>
            <w:docPartGallery w:val="Page Numbers (Top of Page)"/>
            <w:docPartUnique/>
          </w:docPartObj>
        </w:sdtPr>
        <w:sdtEndPr/>
        <w:sdtContent>
          <w:p w14:paraId="39FB22CB" w14:textId="7EE4EBFE" w:rsidR="009411B6" w:rsidRDefault="009411B6" w:rsidP="00AF6C5F">
            <w:pPr>
              <w:pStyle w:val="Footer"/>
            </w:pPr>
            <w:r w:rsidRPr="00645F0D">
              <w:rPr>
                <w:rFonts w:cs="Arial"/>
                <w:noProof/>
                <w:sz w:val="14"/>
                <w:szCs w:val="14"/>
                <w:lang w:eastAsia="lv-LV"/>
              </w:rPr>
              <w:drawing>
                <wp:inline distT="0" distB="0" distL="0" distR="0" wp14:anchorId="5075B5FE" wp14:editId="7F7761F2">
                  <wp:extent cx="6012180" cy="8400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bott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2180" cy="84007"/>
                          </a:xfrm>
                          <a:prstGeom prst="rect">
                            <a:avLst/>
                          </a:prstGeom>
                        </pic:spPr>
                      </pic:pic>
                    </a:graphicData>
                  </a:graphic>
                </wp:inline>
              </w:drawing>
            </w:r>
          </w:p>
          <w:p w14:paraId="0392D9D2" w14:textId="0476CA39" w:rsidR="00FA3229" w:rsidRPr="00507760" w:rsidRDefault="005C6EA1" w:rsidP="00AF6C5F">
            <w:pPr>
              <w:pStyle w:val="Footer"/>
            </w:pPr>
            <w:bookmarkStart w:id="4" w:name="_Hlk120270105"/>
            <w:r w:rsidRPr="005C6EA1">
              <w:rPr>
                <w:color w:val="767171" w:themeColor="background2" w:themeShade="80"/>
                <w:sz w:val="16"/>
                <w:szCs w:val="16"/>
              </w:rPr>
              <w:t xml:space="preserve">1Лг-602Р </w:t>
            </w:r>
            <w:bookmarkEnd w:id="4"/>
            <w:r w:rsidRPr="005C6EA1">
              <w:rPr>
                <w:color w:val="767171" w:themeColor="background2" w:themeShade="80"/>
                <w:sz w:val="16"/>
                <w:szCs w:val="16"/>
              </w:rPr>
              <w:t>sērijas daudzdzīvokļu dzīvojamo ēku konstrukciju mehāniskās stiprības un stabilitātes izpēte</w:t>
            </w:r>
            <w:r w:rsidR="007F0393" w:rsidRPr="005C6EA1">
              <w:rPr>
                <w:color w:val="767171" w:themeColor="background2" w:themeShade="80"/>
                <w:sz w:val="16"/>
                <w:szCs w:val="16"/>
              </w:rPr>
              <w:t xml:space="preserve"> </w:t>
            </w:r>
            <w:r w:rsidR="00AF6C5F" w:rsidRPr="005C6EA1">
              <w:rPr>
                <w:sz w:val="18"/>
                <w:szCs w:val="18"/>
              </w:rPr>
              <w:t xml:space="preserve">    </w:t>
            </w:r>
            <w:r w:rsidR="002C30EB" w:rsidRPr="005C6EA1">
              <w:rPr>
                <w:sz w:val="16"/>
                <w:szCs w:val="16"/>
              </w:rPr>
              <w:t>Lapa</w:t>
            </w:r>
            <w:r w:rsidR="00FA3229" w:rsidRPr="005C6EA1">
              <w:rPr>
                <w:sz w:val="16"/>
                <w:szCs w:val="16"/>
              </w:rPr>
              <w:t xml:space="preserve"> </w:t>
            </w:r>
            <w:r w:rsidR="00FA3229" w:rsidRPr="005C6EA1">
              <w:rPr>
                <w:b/>
                <w:bCs/>
                <w:sz w:val="16"/>
                <w:szCs w:val="16"/>
              </w:rPr>
              <w:fldChar w:fldCharType="begin"/>
            </w:r>
            <w:r w:rsidR="00FA3229" w:rsidRPr="005C6EA1">
              <w:rPr>
                <w:b/>
                <w:bCs/>
                <w:sz w:val="16"/>
                <w:szCs w:val="16"/>
              </w:rPr>
              <w:instrText xml:space="preserve"> PAGE </w:instrText>
            </w:r>
            <w:r w:rsidR="00FA3229" w:rsidRPr="005C6EA1">
              <w:rPr>
                <w:b/>
                <w:bCs/>
                <w:sz w:val="16"/>
                <w:szCs w:val="16"/>
              </w:rPr>
              <w:fldChar w:fldCharType="separate"/>
            </w:r>
            <w:r w:rsidR="00FA3229" w:rsidRPr="005C6EA1">
              <w:rPr>
                <w:b/>
                <w:bCs/>
                <w:noProof/>
                <w:sz w:val="16"/>
                <w:szCs w:val="16"/>
              </w:rPr>
              <w:t>2</w:t>
            </w:r>
            <w:r w:rsidR="00FA3229" w:rsidRPr="005C6EA1">
              <w:rPr>
                <w:b/>
                <w:bCs/>
                <w:sz w:val="16"/>
                <w:szCs w:val="16"/>
              </w:rPr>
              <w:fldChar w:fldCharType="end"/>
            </w:r>
            <w:r w:rsidR="00FA3229" w:rsidRPr="005C6EA1">
              <w:rPr>
                <w:sz w:val="16"/>
                <w:szCs w:val="16"/>
              </w:rPr>
              <w:t xml:space="preserve"> </w:t>
            </w:r>
            <w:r w:rsidR="002C30EB" w:rsidRPr="005C6EA1">
              <w:rPr>
                <w:sz w:val="16"/>
                <w:szCs w:val="16"/>
              </w:rPr>
              <w:t>no</w:t>
            </w:r>
            <w:r w:rsidR="00FA3229" w:rsidRPr="005C6EA1">
              <w:rPr>
                <w:sz w:val="16"/>
                <w:szCs w:val="16"/>
              </w:rPr>
              <w:t xml:space="preserve"> </w:t>
            </w:r>
            <w:r w:rsidR="00FA3229" w:rsidRPr="005C6EA1">
              <w:rPr>
                <w:b/>
                <w:bCs/>
                <w:sz w:val="16"/>
                <w:szCs w:val="16"/>
              </w:rPr>
              <w:fldChar w:fldCharType="begin"/>
            </w:r>
            <w:r w:rsidR="00FA3229" w:rsidRPr="005C6EA1">
              <w:rPr>
                <w:b/>
                <w:bCs/>
                <w:sz w:val="16"/>
                <w:szCs w:val="16"/>
              </w:rPr>
              <w:instrText xml:space="preserve"> NUMPAGES  </w:instrText>
            </w:r>
            <w:r w:rsidR="00FA3229" w:rsidRPr="005C6EA1">
              <w:rPr>
                <w:b/>
                <w:bCs/>
                <w:sz w:val="16"/>
                <w:szCs w:val="16"/>
              </w:rPr>
              <w:fldChar w:fldCharType="separate"/>
            </w:r>
            <w:r w:rsidR="00FA3229" w:rsidRPr="005C6EA1">
              <w:rPr>
                <w:b/>
                <w:bCs/>
                <w:noProof/>
                <w:sz w:val="16"/>
                <w:szCs w:val="16"/>
              </w:rPr>
              <w:t>2</w:t>
            </w:r>
            <w:r w:rsidR="00FA3229" w:rsidRPr="005C6EA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6276" w14:textId="77777777" w:rsidR="003435F8" w:rsidRDefault="003435F8" w:rsidP="00F157DB">
      <w:r>
        <w:separator/>
      </w:r>
    </w:p>
  </w:footnote>
  <w:footnote w:type="continuationSeparator" w:id="0">
    <w:p w14:paraId="2EDA3181" w14:textId="77777777" w:rsidR="003435F8" w:rsidRDefault="003435F8" w:rsidP="00F15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C75F" w14:textId="468A2F01" w:rsidR="00C067F8" w:rsidRPr="00507760" w:rsidRDefault="00FC25F3">
    <w:pPr>
      <w:pStyle w:val="Header"/>
      <w:rPr>
        <w:sz w:val="24"/>
        <w:szCs w:val="24"/>
      </w:rPr>
    </w:pPr>
    <w:r w:rsidRPr="00623EDE">
      <w:rPr>
        <w:bCs/>
        <w:color w:val="808080" w:themeColor="background1" w:themeShade="80"/>
        <w:sz w:val="28"/>
        <w:szCs w:val="28"/>
      </w:rPr>
      <w:t>ZIŅOJUMS Nr. 3-4.5.4/801</w:t>
    </w:r>
    <w:r w:rsidR="00507760" w:rsidRPr="001C7449">
      <w:rPr>
        <w:rFonts w:cs="Arial"/>
        <w:b/>
        <w:noProof/>
        <w:color w:val="005DA1"/>
        <w:sz w:val="28"/>
        <w:szCs w:val="28"/>
        <w:lang w:eastAsia="lv-LV"/>
      </w:rPr>
      <w:drawing>
        <wp:anchor distT="0" distB="0" distL="114300" distR="114300" simplePos="0" relativeHeight="251659264" behindDoc="0" locked="1" layoutInCell="1" allowOverlap="1" wp14:anchorId="39239CF3" wp14:editId="01A59149">
          <wp:simplePos x="0" y="0"/>
          <wp:positionH relativeFrom="margin">
            <wp:posOffset>5378450</wp:posOffset>
          </wp:positionH>
          <wp:positionV relativeFrom="topMargin">
            <wp:align>bottom</wp:align>
          </wp:positionV>
          <wp:extent cx="960755" cy="72707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apture.PNG"/>
                  <pic:cNvPicPr/>
                </pic:nvPicPr>
                <pic:blipFill rotWithShape="1">
                  <a:blip r:embed="rId1">
                    <a:extLst>
                      <a:ext uri="{28A0092B-C50C-407E-A947-70E740481C1C}">
                        <a14:useLocalDpi xmlns:a14="http://schemas.microsoft.com/office/drawing/2010/main" val="0"/>
                      </a:ext>
                    </a:extLst>
                  </a:blip>
                  <a:srcRect b="12048"/>
                  <a:stretch/>
                </pic:blipFill>
                <pic:spPr bwMode="auto">
                  <a:xfrm>
                    <a:off x="0" y="0"/>
                    <a:ext cx="96075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5E26">
      <w:rPr>
        <w:bCs/>
        <w:color w:val="808080" w:themeColor="background1" w:themeShade="80"/>
        <w:sz w:val="28"/>
        <w:szCs w:val="28"/>
      </w:rPr>
      <w:t>267</w:t>
    </w:r>
  </w:p>
  <w:p w14:paraId="3E56105F" w14:textId="77777777" w:rsidR="00C067F8" w:rsidRDefault="00C06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126D"/>
    <w:multiLevelType w:val="hybridMultilevel"/>
    <w:tmpl w:val="DF74EB26"/>
    <w:lvl w:ilvl="0" w:tplc="4810E5D0">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F632EB"/>
    <w:multiLevelType w:val="hybridMultilevel"/>
    <w:tmpl w:val="B164FA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66F7B"/>
    <w:multiLevelType w:val="hybridMultilevel"/>
    <w:tmpl w:val="825469E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9244585">
    <w:abstractNumId w:val="2"/>
  </w:num>
  <w:num w:numId="2" w16cid:durableId="1768230861">
    <w:abstractNumId w:val="1"/>
  </w:num>
  <w:num w:numId="3" w16cid:durableId="3678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C5"/>
    <w:rsid w:val="0000331B"/>
    <w:rsid w:val="00076A32"/>
    <w:rsid w:val="000B2DA6"/>
    <w:rsid w:val="00106CF5"/>
    <w:rsid w:val="00190700"/>
    <w:rsid w:val="001A6D7B"/>
    <w:rsid w:val="001B2B70"/>
    <w:rsid w:val="001C53AB"/>
    <w:rsid w:val="001C6238"/>
    <w:rsid w:val="001D25C5"/>
    <w:rsid w:val="001D2606"/>
    <w:rsid w:val="001F3E8B"/>
    <w:rsid w:val="00210467"/>
    <w:rsid w:val="002464D6"/>
    <w:rsid w:val="00251DC5"/>
    <w:rsid w:val="00262AAE"/>
    <w:rsid w:val="00285AD9"/>
    <w:rsid w:val="002C209F"/>
    <w:rsid w:val="002C30EB"/>
    <w:rsid w:val="002D540F"/>
    <w:rsid w:val="002E74FA"/>
    <w:rsid w:val="002F41B5"/>
    <w:rsid w:val="00342D6F"/>
    <w:rsid w:val="003435F8"/>
    <w:rsid w:val="003547D1"/>
    <w:rsid w:val="00362489"/>
    <w:rsid w:val="0037670B"/>
    <w:rsid w:val="00380119"/>
    <w:rsid w:val="003D2062"/>
    <w:rsid w:val="00400424"/>
    <w:rsid w:val="00414017"/>
    <w:rsid w:val="004514B1"/>
    <w:rsid w:val="00470DF7"/>
    <w:rsid w:val="00472A36"/>
    <w:rsid w:val="004B3628"/>
    <w:rsid w:val="004D6A21"/>
    <w:rsid w:val="00507760"/>
    <w:rsid w:val="005220CF"/>
    <w:rsid w:val="0052780D"/>
    <w:rsid w:val="00545FEB"/>
    <w:rsid w:val="00552DF5"/>
    <w:rsid w:val="0058303B"/>
    <w:rsid w:val="005A709E"/>
    <w:rsid w:val="005C6EA1"/>
    <w:rsid w:val="005D40CA"/>
    <w:rsid w:val="006720FC"/>
    <w:rsid w:val="00672858"/>
    <w:rsid w:val="006D0451"/>
    <w:rsid w:val="00713C22"/>
    <w:rsid w:val="00734E08"/>
    <w:rsid w:val="00773C29"/>
    <w:rsid w:val="007957AF"/>
    <w:rsid w:val="007E1752"/>
    <w:rsid w:val="007F0393"/>
    <w:rsid w:val="00855076"/>
    <w:rsid w:val="0088601F"/>
    <w:rsid w:val="00896577"/>
    <w:rsid w:val="00930A4B"/>
    <w:rsid w:val="00930EC3"/>
    <w:rsid w:val="009411B6"/>
    <w:rsid w:val="00961265"/>
    <w:rsid w:val="00974511"/>
    <w:rsid w:val="009921D4"/>
    <w:rsid w:val="00995E26"/>
    <w:rsid w:val="009971C0"/>
    <w:rsid w:val="009C581C"/>
    <w:rsid w:val="009D4D6C"/>
    <w:rsid w:val="009E286D"/>
    <w:rsid w:val="00A00B95"/>
    <w:rsid w:val="00A0603A"/>
    <w:rsid w:val="00A22EE9"/>
    <w:rsid w:val="00A3330A"/>
    <w:rsid w:val="00AA0CF5"/>
    <w:rsid w:val="00AA1CA2"/>
    <w:rsid w:val="00AE20C5"/>
    <w:rsid w:val="00AE7156"/>
    <w:rsid w:val="00AF6C5F"/>
    <w:rsid w:val="00B17261"/>
    <w:rsid w:val="00B43257"/>
    <w:rsid w:val="00B47346"/>
    <w:rsid w:val="00B5330F"/>
    <w:rsid w:val="00B85502"/>
    <w:rsid w:val="00B93C4E"/>
    <w:rsid w:val="00B956B9"/>
    <w:rsid w:val="00BB7ED1"/>
    <w:rsid w:val="00BD6E71"/>
    <w:rsid w:val="00C05D8E"/>
    <w:rsid w:val="00C067F8"/>
    <w:rsid w:val="00C07EB0"/>
    <w:rsid w:val="00C22F2A"/>
    <w:rsid w:val="00C26E5C"/>
    <w:rsid w:val="00C30342"/>
    <w:rsid w:val="00C37A61"/>
    <w:rsid w:val="00C4085F"/>
    <w:rsid w:val="00C51CB0"/>
    <w:rsid w:val="00C92849"/>
    <w:rsid w:val="00CB2C6E"/>
    <w:rsid w:val="00CB3594"/>
    <w:rsid w:val="00CE3001"/>
    <w:rsid w:val="00CE793E"/>
    <w:rsid w:val="00CF0902"/>
    <w:rsid w:val="00CF0C45"/>
    <w:rsid w:val="00CF7884"/>
    <w:rsid w:val="00D11BFB"/>
    <w:rsid w:val="00D15797"/>
    <w:rsid w:val="00D4614E"/>
    <w:rsid w:val="00D4757F"/>
    <w:rsid w:val="00D75855"/>
    <w:rsid w:val="00D92B78"/>
    <w:rsid w:val="00DC19A9"/>
    <w:rsid w:val="00DC45D4"/>
    <w:rsid w:val="00DD5F3E"/>
    <w:rsid w:val="00E201C2"/>
    <w:rsid w:val="00E30AF0"/>
    <w:rsid w:val="00E35F15"/>
    <w:rsid w:val="00E544D6"/>
    <w:rsid w:val="00E64815"/>
    <w:rsid w:val="00E6513A"/>
    <w:rsid w:val="00E811C2"/>
    <w:rsid w:val="00EE4A74"/>
    <w:rsid w:val="00EE52D1"/>
    <w:rsid w:val="00F157DB"/>
    <w:rsid w:val="00F351AF"/>
    <w:rsid w:val="00F57AA9"/>
    <w:rsid w:val="00F74739"/>
    <w:rsid w:val="00FA3229"/>
    <w:rsid w:val="00FB7E2F"/>
    <w:rsid w:val="00FC25F3"/>
    <w:rsid w:val="00FC78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3B8FEC"/>
  <w15:chartTrackingRefBased/>
  <w15:docId w15:val="{F0CF709B-4D7E-4ABE-823E-3B9E5BEE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iwa-Standaard"/>
    <w:qFormat/>
    <w:rsid w:val="00342D6F"/>
    <w:pPr>
      <w:spacing w:after="0" w:line="240" w:lineRule="auto"/>
    </w:pPr>
    <w:rPr>
      <w:rFonts w:ascii="Arial" w:eastAsia="Times New Roman" w:hAnsi="Arial"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Strip,Colorful List - Accent 12,Normal bullet 2,Bullet list,Saistīto dokumentu saraksts,Syle 1,Table of contents numbered,Citation List,PPS_Bullet,Numurets,Virsraksti,Bullet EY,ERP-List Paragraph,Numbered Para 1,Dot pt"/>
    <w:basedOn w:val="Normal"/>
    <w:link w:val="ListParagraphChar"/>
    <w:qFormat/>
    <w:rsid w:val="005220CF"/>
    <w:pPr>
      <w:ind w:left="720"/>
      <w:contextualSpacing/>
    </w:pPr>
  </w:style>
  <w:style w:type="paragraph" w:styleId="BalloonText">
    <w:name w:val="Balloon Text"/>
    <w:basedOn w:val="Normal"/>
    <w:link w:val="BalloonTextChar"/>
    <w:uiPriority w:val="99"/>
    <w:semiHidden/>
    <w:unhideWhenUsed/>
    <w:rsid w:val="00F57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AA9"/>
    <w:rPr>
      <w:rFonts w:ascii="Segoe UI" w:hAnsi="Segoe UI" w:cs="Segoe UI"/>
      <w:sz w:val="18"/>
      <w:szCs w:val="18"/>
    </w:rPr>
  </w:style>
  <w:style w:type="paragraph" w:styleId="Header">
    <w:name w:val="header"/>
    <w:basedOn w:val="Normal"/>
    <w:link w:val="HeaderChar"/>
    <w:uiPriority w:val="99"/>
    <w:unhideWhenUsed/>
    <w:rsid w:val="00F157DB"/>
    <w:pPr>
      <w:tabs>
        <w:tab w:val="center" w:pos="4153"/>
        <w:tab w:val="right" w:pos="8306"/>
      </w:tabs>
    </w:pPr>
  </w:style>
  <w:style w:type="character" w:customStyle="1" w:styleId="HeaderChar">
    <w:name w:val="Header Char"/>
    <w:basedOn w:val="DefaultParagraphFont"/>
    <w:link w:val="Header"/>
    <w:uiPriority w:val="99"/>
    <w:rsid w:val="00F157DB"/>
  </w:style>
  <w:style w:type="paragraph" w:styleId="Footer">
    <w:name w:val="footer"/>
    <w:basedOn w:val="Normal"/>
    <w:link w:val="FooterChar"/>
    <w:uiPriority w:val="99"/>
    <w:unhideWhenUsed/>
    <w:rsid w:val="00F157DB"/>
    <w:pPr>
      <w:tabs>
        <w:tab w:val="center" w:pos="4153"/>
        <w:tab w:val="right" w:pos="8306"/>
      </w:tabs>
    </w:pPr>
  </w:style>
  <w:style w:type="character" w:customStyle="1" w:styleId="FooterChar">
    <w:name w:val="Footer Char"/>
    <w:basedOn w:val="DefaultParagraphFont"/>
    <w:link w:val="Footer"/>
    <w:uiPriority w:val="99"/>
    <w:rsid w:val="00F157DB"/>
  </w:style>
  <w:style w:type="paragraph" w:styleId="BodyText3">
    <w:name w:val="Body Text 3"/>
    <w:basedOn w:val="Normal"/>
    <w:link w:val="BodyText3Char"/>
    <w:uiPriority w:val="99"/>
    <w:unhideWhenUsed/>
    <w:rsid w:val="00CB2C6E"/>
    <w:pPr>
      <w:spacing w:after="120"/>
    </w:pPr>
    <w:rPr>
      <w:sz w:val="16"/>
      <w:szCs w:val="16"/>
    </w:rPr>
  </w:style>
  <w:style w:type="character" w:customStyle="1" w:styleId="BodyText3Char">
    <w:name w:val="Body Text 3 Char"/>
    <w:basedOn w:val="DefaultParagraphFont"/>
    <w:link w:val="BodyText3"/>
    <w:uiPriority w:val="99"/>
    <w:rsid w:val="00CB2C6E"/>
    <w:rPr>
      <w:rFonts w:ascii="Arial" w:eastAsia="Times New Roman" w:hAnsi="Arial" w:cs="Times New Roman"/>
      <w:sz w:val="16"/>
      <w:szCs w:val="16"/>
      <w:lang w:eastAsia="nl-NL"/>
    </w:rPr>
  </w:style>
  <w:style w:type="table" w:styleId="TableGrid">
    <w:name w:val="Table Grid"/>
    <w:basedOn w:val="TableNormal"/>
    <w:uiPriority w:val="59"/>
    <w:rsid w:val="00CF7884"/>
    <w:pPr>
      <w:spacing w:after="0" w:line="240" w:lineRule="auto"/>
    </w:pPr>
    <w:rPr>
      <w:rFonts w:ascii="Times New Roman" w:eastAsia="Times New Roman" w:hAnsi="Times New Roman" w:cs="Times New Roman"/>
      <w:sz w:val="20"/>
      <w:szCs w:val="20"/>
      <w:lang w:val="x-non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D6F"/>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H&amp;P List Paragraph Char,Strip Char,Colorful List - Accent 12 Char,Normal bullet 2 Char,Bullet list Char,Saistīto dokumentu saraksts Char,Syle 1 Char,Table of contents numbered Char,Citation List Char,PPS_Bullet Char,Numurets Char"/>
    <w:link w:val="ListParagraph"/>
    <w:qFormat/>
    <w:rsid w:val="00342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Inspecta latvia</dc:creator>
  <cp:keywords/>
  <dc:description/>
  <cp:lastModifiedBy>Caune, Oskars</cp:lastModifiedBy>
  <cp:revision>20</cp:revision>
  <dcterms:created xsi:type="dcterms:W3CDTF">2020-06-18T05:56:00Z</dcterms:created>
  <dcterms:modified xsi:type="dcterms:W3CDTF">2022-11-30T18:31:00Z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2022-11-30T17:15:44Z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d8abb22d-5305-4c86-a9ea-9c621b455d88</vt:lpwstr>
  </property>
  <property fmtid="{D5CDD505-2E9C-101B-9397-08002B2CF9AE}" pid="8" name="MSIP_Label_55e46f04-1151-4928-a464-2b4d83efefbb_ContentBits">
    <vt:lpwstr>0</vt:lpwstr>
  </property>
</Properties>
</file>