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D73F4" w14:textId="77777777" w:rsidR="005E23D7" w:rsidRDefault="00A80DF5" w:rsidP="005E23D7">
      <w:pPr>
        <w:spacing w:after="0" w:line="240" w:lineRule="auto"/>
        <w:jc w:val="center"/>
        <w:rPr>
          <w:rFonts w:ascii="Times New Roman" w:hAnsi="Times New Roman" w:cs="Times New Roman"/>
          <w:b/>
          <w:bCs/>
          <w:sz w:val="26"/>
          <w:szCs w:val="26"/>
        </w:rPr>
      </w:pPr>
      <w:r w:rsidRPr="005E23D7">
        <w:rPr>
          <w:rFonts w:ascii="Times New Roman" w:hAnsi="Times New Roman" w:cs="Times New Roman"/>
          <w:b/>
          <w:bCs/>
          <w:sz w:val="26"/>
          <w:szCs w:val="26"/>
        </w:rPr>
        <w:t xml:space="preserve">Ekonomikas ministrijas </w:t>
      </w:r>
      <w:r w:rsidR="005E23D7" w:rsidRPr="005E23D7">
        <w:rPr>
          <w:rFonts w:ascii="Times New Roman" w:hAnsi="Times New Roman" w:cs="Times New Roman"/>
          <w:b/>
          <w:bCs/>
          <w:sz w:val="26"/>
          <w:szCs w:val="26"/>
        </w:rPr>
        <w:t xml:space="preserve">būtiskākais </w:t>
      </w:r>
    </w:p>
    <w:p w14:paraId="40AD7B84" w14:textId="3B2996DD" w:rsidR="00D34D25" w:rsidRPr="005E23D7" w:rsidRDefault="00D34D25" w:rsidP="005E23D7">
      <w:pPr>
        <w:spacing w:after="0" w:line="240" w:lineRule="auto"/>
        <w:jc w:val="center"/>
        <w:rPr>
          <w:rFonts w:ascii="Times New Roman" w:hAnsi="Times New Roman" w:cs="Times New Roman"/>
          <w:b/>
          <w:bCs/>
          <w:sz w:val="26"/>
          <w:szCs w:val="26"/>
        </w:rPr>
      </w:pPr>
      <w:r w:rsidRPr="005E23D7">
        <w:rPr>
          <w:rFonts w:ascii="Times New Roman" w:hAnsi="Times New Roman" w:cs="Times New Roman"/>
          <w:b/>
          <w:bCs/>
          <w:sz w:val="26"/>
          <w:szCs w:val="26"/>
        </w:rPr>
        <w:t>PAVEIKTAIS 2022. GADĀ</w:t>
      </w:r>
    </w:p>
    <w:p w14:paraId="6CB72706" w14:textId="3B9487A1" w:rsidR="00944242" w:rsidRPr="005E23D7" w:rsidRDefault="00944242" w:rsidP="005E23D7">
      <w:pPr>
        <w:spacing w:after="0" w:line="240" w:lineRule="auto"/>
        <w:jc w:val="both"/>
        <w:rPr>
          <w:rFonts w:ascii="Times New Roman" w:hAnsi="Times New Roman" w:cs="Times New Roman"/>
          <w:sz w:val="24"/>
          <w:szCs w:val="24"/>
        </w:rPr>
      </w:pPr>
    </w:p>
    <w:p w14:paraId="112655F4" w14:textId="1D4E4B4A" w:rsidR="00476DF8" w:rsidRPr="005E23D7" w:rsidRDefault="00C07925" w:rsidP="005E23D7">
      <w:pPr>
        <w:spacing w:after="0" w:line="240" w:lineRule="auto"/>
        <w:ind w:firstLine="720"/>
        <w:jc w:val="both"/>
        <w:rPr>
          <w:rFonts w:ascii="Times New Roman" w:hAnsi="Times New Roman" w:cs="Times New Roman"/>
          <w:sz w:val="24"/>
          <w:szCs w:val="24"/>
        </w:rPr>
      </w:pPr>
      <w:r w:rsidRPr="005E23D7">
        <w:rPr>
          <w:rFonts w:ascii="Times New Roman" w:hAnsi="Times New Roman" w:cs="Times New Roman"/>
          <w:sz w:val="24"/>
          <w:szCs w:val="24"/>
        </w:rPr>
        <w:t xml:space="preserve">2022. gads atnesa virkni jaunu izaicinājumu ne tikai Latvijas, bet arī globālajā līmenī. </w:t>
      </w:r>
      <w:r w:rsidR="00476DF8" w:rsidRPr="005E23D7">
        <w:rPr>
          <w:rFonts w:ascii="Times New Roman" w:hAnsi="Times New Roman" w:cs="Times New Roman"/>
          <w:sz w:val="24"/>
          <w:szCs w:val="24"/>
        </w:rPr>
        <w:t>M</w:t>
      </w:r>
      <w:r w:rsidRPr="005E23D7">
        <w:rPr>
          <w:rFonts w:ascii="Times New Roman" w:hAnsi="Times New Roman" w:cs="Times New Roman"/>
          <w:sz w:val="24"/>
          <w:szCs w:val="24"/>
        </w:rPr>
        <w:t xml:space="preserve">azinoties Covid-19 pandēmijas ietekmei, visa pasaule saskārās ar </w:t>
      </w:r>
      <w:r w:rsidR="00476DF8" w:rsidRPr="005E23D7">
        <w:rPr>
          <w:rFonts w:ascii="Times New Roman" w:hAnsi="Times New Roman" w:cs="Times New Roman"/>
          <w:sz w:val="24"/>
          <w:szCs w:val="24"/>
        </w:rPr>
        <w:t xml:space="preserve">energoresursu cenu krīzi un </w:t>
      </w:r>
      <w:r w:rsidRPr="005E23D7">
        <w:rPr>
          <w:rFonts w:ascii="Times New Roman" w:hAnsi="Times New Roman" w:cs="Times New Roman"/>
          <w:sz w:val="24"/>
          <w:szCs w:val="24"/>
        </w:rPr>
        <w:t xml:space="preserve">ģeopolitiskajiem izaicinājumiem, ko izraisīja Krievijas uzsāktais karš Ukrainā. Lai arī šis laiks iezīmē ekonomikas nestabilitāti, augstas energoresursu cenas, izejvielu trūkumu, tas ir arī iespēju laiks uzņēmējiem. </w:t>
      </w:r>
      <w:r w:rsidR="00476DF8" w:rsidRPr="005E23D7">
        <w:rPr>
          <w:rFonts w:ascii="Times New Roman" w:hAnsi="Times New Roman" w:cs="Times New Roman"/>
          <w:sz w:val="24"/>
          <w:szCs w:val="24"/>
        </w:rPr>
        <w:t xml:space="preserve">Lai arī ekonomika izaugsme ir sabremzējusies par vismaz 3 procentpunktiem, 2022. gadā tā paliks pozitīva un var sasniegt 1-2% gada griezumā. Ekonomiskas izaugsmei turpmākos septiņus gadus uzņēmēju produktivitātes kāpināšanai, inovācijām, digitalizācijai un konkurētspējai būs pieejams atbalsts no Atveseļošanas un noturības mehānisma plāna un ES Struktūrfondu daudzgadu budžeta līdzekļiem 1,6 miljardu eiro apmērā. </w:t>
      </w:r>
    </w:p>
    <w:p w14:paraId="610DED7B" w14:textId="70BC8DDD" w:rsidR="00A80DF5" w:rsidRPr="005E23D7" w:rsidRDefault="00476DF8" w:rsidP="005E23D7">
      <w:pPr>
        <w:spacing w:after="0" w:line="240" w:lineRule="auto"/>
        <w:ind w:firstLine="720"/>
        <w:jc w:val="both"/>
        <w:rPr>
          <w:rFonts w:ascii="Times New Roman" w:hAnsi="Times New Roman" w:cs="Times New Roman"/>
          <w:sz w:val="24"/>
          <w:szCs w:val="24"/>
        </w:rPr>
      </w:pPr>
      <w:r w:rsidRPr="005E23D7">
        <w:rPr>
          <w:rFonts w:ascii="Times New Roman" w:hAnsi="Times New Roman" w:cs="Times New Roman"/>
          <w:sz w:val="24"/>
          <w:szCs w:val="24"/>
        </w:rPr>
        <w:t xml:space="preserve">Latvijai ir jākļūst par mājvietu pasaules līmeņa inovācijām, augstas pievienotās vērtības uzņēmumiem un gudriem cilvēkiem. </w:t>
      </w:r>
      <w:r w:rsidR="00C07925" w:rsidRPr="005E23D7">
        <w:rPr>
          <w:rFonts w:ascii="Times New Roman" w:hAnsi="Times New Roman" w:cs="Times New Roman"/>
          <w:sz w:val="24"/>
          <w:szCs w:val="24"/>
        </w:rPr>
        <w:t>Ieguvēji noteikti būs tie uzņēmumi, kuri spēs piedāvāt inovatīvus produktus un pakalpojumus, kā arī varēs dinamiski pielāgoties un piedāvāt ātrus risinājumus dažādās situācijās. Covid-19 pandēmijas un ģeopolitisko satricinājumu laikā uzņēmumi ir motivēti atrast jaunus tirgus, jaunus izejvielu un resursu piegādātājus</w:t>
      </w:r>
      <w:r w:rsidRPr="005E23D7">
        <w:rPr>
          <w:rFonts w:ascii="Times New Roman" w:hAnsi="Times New Roman" w:cs="Times New Roman"/>
          <w:sz w:val="24"/>
          <w:szCs w:val="24"/>
        </w:rPr>
        <w:t>.</w:t>
      </w:r>
    </w:p>
    <w:p w14:paraId="1380886C" w14:textId="3F751CC7" w:rsidR="00476DF8" w:rsidRPr="005E23D7" w:rsidRDefault="00A91B68" w:rsidP="005E23D7">
      <w:pPr>
        <w:spacing w:after="0" w:line="240" w:lineRule="auto"/>
        <w:ind w:firstLine="720"/>
        <w:jc w:val="both"/>
        <w:rPr>
          <w:rFonts w:ascii="Times New Roman" w:hAnsi="Times New Roman" w:cs="Times New Roman"/>
          <w:sz w:val="24"/>
          <w:szCs w:val="24"/>
        </w:rPr>
      </w:pPr>
      <w:r w:rsidRPr="005E23D7">
        <w:rPr>
          <w:rFonts w:ascii="Times New Roman" w:hAnsi="Times New Roman" w:cs="Times New Roman"/>
          <w:sz w:val="24"/>
          <w:szCs w:val="24"/>
        </w:rPr>
        <w:t xml:space="preserve">2023. gada prioritārie darbi Ekonomikas ministrijā būs saistīti ar uzņēmēju izaugsmi un finanšu pieejamību, zinātnes ieguldījumiem ekonomikā, mājokļu pieejamību un energoefektivitātes uzlabošanu, kā arī nodarbinātības politiku. </w:t>
      </w:r>
    </w:p>
    <w:p w14:paraId="6AE6B564" w14:textId="77777777" w:rsidR="00476DF8" w:rsidRPr="005E23D7" w:rsidRDefault="00476DF8" w:rsidP="005E23D7">
      <w:pPr>
        <w:spacing w:after="0" w:line="240" w:lineRule="auto"/>
        <w:jc w:val="both"/>
        <w:rPr>
          <w:rFonts w:ascii="Times New Roman" w:hAnsi="Times New Roman" w:cs="Times New Roman"/>
          <w:sz w:val="24"/>
          <w:szCs w:val="24"/>
        </w:rPr>
      </w:pPr>
    </w:p>
    <w:p w14:paraId="4EDB75FB" w14:textId="65382742" w:rsidR="0027768B" w:rsidRDefault="0027768B" w:rsidP="005E23D7">
      <w:pPr>
        <w:spacing w:after="0" w:line="240" w:lineRule="auto"/>
        <w:jc w:val="both"/>
        <w:rPr>
          <w:rFonts w:ascii="Times New Roman" w:hAnsi="Times New Roman" w:cs="Times New Roman"/>
          <w:b/>
          <w:bCs/>
          <w:sz w:val="24"/>
          <w:szCs w:val="24"/>
        </w:rPr>
      </w:pPr>
      <w:r w:rsidRPr="005E23D7">
        <w:rPr>
          <w:rFonts w:ascii="Times New Roman" w:hAnsi="Times New Roman" w:cs="Times New Roman"/>
          <w:b/>
          <w:bCs/>
          <w:sz w:val="24"/>
          <w:szCs w:val="24"/>
        </w:rPr>
        <w:t>Enerģētiskā drošība un energoefektivitāte</w:t>
      </w:r>
    </w:p>
    <w:p w14:paraId="3647066A" w14:textId="77777777" w:rsidR="005E23D7" w:rsidRPr="005E23D7" w:rsidRDefault="005E23D7" w:rsidP="005E23D7">
      <w:pPr>
        <w:spacing w:after="0" w:line="240" w:lineRule="auto"/>
        <w:jc w:val="both"/>
        <w:rPr>
          <w:rFonts w:ascii="Times New Roman" w:hAnsi="Times New Roman" w:cs="Times New Roman"/>
          <w:b/>
          <w:bCs/>
          <w:sz w:val="24"/>
          <w:szCs w:val="24"/>
        </w:rPr>
      </w:pPr>
    </w:p>
    <w:p w14:paraId="6F143912" w14:textId="1275CFC7" w:rsidR="008A1A1D" w:rsidRPr="005E23D7" w:rsidRDefault="002F0601" w:rsidP="005E23D7">
      <w:pPr>
        <w:spacing w:after="0" w:line="240" w:lineRule="auto"/>
        <w:jc w:val="both"/>
        <w:rPr>
          <w:rFonts w:ascii="Times New Roman" w:hAnsi="Times New Roman" w:cs="Times New Roman"/>
          <w:b/>
          <w:bCs/>
          <w:sz w:val="24"/>
          <w:szCs w:val="24"/>
        </w:rPr>
      </w:pPr>
      <w:r w:rsidRPr="005E23D7">
        <w:rPr>
          <w:rFonts w:ascii="Times New Roman" w:hAnsi="Times New Roman" w:cs="Times New Roman"/>
          <w:sz w:val="24"/>
          <w:szCs w:val="24"/>
        </w:rPr>
        <w:t>E</w:t>
      </w:r>
      <w:r w:rsidR="009738BA" w:rsidRPr="005E23D7">
        <w:rPr>
          <w:rFonts w:ascii="Times New Roman" w:hAnsi="Times New Roman" w:cs="Times New Roman"/>
          <w:sz w:val="24"/>
          <w:szCs w:val="24"/>
        </w:rPr>
        <w:t xml:space="preserve">nergoefektivitātes un enerģētiskās neatkarības veicināšanai šogad </w:t>
      </w:r>
      <w:r w:rsidR="009738BA" w:rsidRPr="005E23D7">
        <w:rPr>
          <w:rFonts w:ascii="Times New Roman" w:hAnsi="Times New Roman" w:cs="Times New Roman"/>
          <w:sz w:val="24"/>
          <w:szCs w:val="24"/>
          <w:u w:val="single"/>
        </w:rPr>
        <w:t>ieviestas jaunās atbalsta programmas privātmāju energoefektivitātei un saules paneļu uzstādīšanai, kā arī pašvaldību katlumāju pārslēgšanai no dabasgāzes uz šķeldu.</w:t>
      </w:r>
      <w:r w:rsidR="009738BA" w:rsidRPr="005E23D7">
        <w:rPr>
          <w:rFonts w:ascii="Times New Roman" w:hAnsi="Times New Roman" w:cs="Times New Roman"/>
          <w:b/>
          <w:bCs/>
          <w:sz w:val="24"/>
          <w:szCs w:val="24"/>
        </w:rPr>
        <w:t xml:space="preserve"> </w:t>
      </w:r>
    </w:p>
    <w:p w14:paraId="3CF808C9" w14:textId="77777777" w:rsidR="005E23D7" w:rsidRDefault="005E23D7" w:rsidP="005E23D7">
      <w:pPr>
        <w:spacing w:after="0" w:line="240" w:lineRule="auto"/>
        <w:jc w:val="both"/>
        <w:rPr>
          <w:rFonts w:ascii="Times New Roman" w:hAnsi="Times New Roman" w:cs="Times New Roman"/>
          <w:sz w:val="24"/>
          <w:szCs w:val="24"/>
        </w:rPr>
      </w:pPr>
    </w:p>
    <w:p w14:paraId="6F5E7FDB" w14:textId="5DCDD883" w:rsidR="008A1A1D" w:rsidRPr="005E23D7" w:rsidRDefault="008A1A1D" w:rsidP="005E23D7">
      <w:pPr>
        <w:spacing w:after="0" w:line="240" w:lineRule="auto"/>
        <w:jc w:val="both"/>
        <w:rPr>
          <w:rFonts w:ascii="Times New Roman" w:hAnsi="Times New Roman" w:cs="Times New Roman"/>
          <w:sz w:val="24"/>
          <w:szCs w:val="24"/>
        </w:rPr>
      </w:pPr>
      <w:r w:rsidRPr="005E23D7">
        <w:rPr>
          <w:rFonts w:ascii="Times New Roman" w:hAnsi="Times New Roman" w:cs="Times New Roman"/>
          <w:sz w:val="24"/>
          <w:szCs w:val="24"/>
        </w:rPr>
        <w:t xml:space="preserve">Kopumā privātmāju energoefektivitātes atbalsta programmā saņemti vairāk kā  1300 projektu pieteikumi par kopējo summu vairāk kā 4,8milj. EUR, to ietvaros - 572 projektu pieteikumi privātmāju energoefektivitātes paaugstināšanai un 766 pieteikumi saules paneļu uzstādīšanai. Atbalsts jau ir izmaksāts 528 projektiem. </w:t>
      </w:r>
    </w:p>
    <w:p w14:paraId="0DA187BB" w14:textId="77777777" w:rsidR="002F0601" w:rsidRPr="005E23D7" w:rsidRDefault="002F0601" w:rsidP="005E23D7">
      <w:pPr>
        <w:spacing w:after="0" w:line="240" w:lineRule="auto"/>
        <w:jc w:val="both"/>
        <w:rPr>
          <w:rFonts w:ascii="Times New Roman" w:hAnsi="Times New Roman" w:cs="Times New Roman"/>
          <w:sz w:val="24"/>
          <w:szCs w:val="24"/>
        </w:rPr>
      </w:pPr>
    </w:p>
    <w:p w14:paraId="1DA562AC" w14:textId="569D1A5D" w:rsidR="009738BA" w:rsidRPr="005E23D7" w:rsidRDefault="009738BA" w:rsidP="005E23D7">
      <w:pPr>
        <w:spacing w:after="0" w:line="240" w:lineRule="auto"/>
        <w:jc w:val="both"/>
        <w:rPr>
          <w:rFonts w:ascii="Times New Roman" w:hAnsi="Times New Roman" w:cs="Times New Roman"/>
          <w:sz w:val="24"/>
          <w:szCs w:val="24"/>
          <w:u w:val="single"/>
        </w:rPr>
      </w:pPr>
      <w:r w:rsidRPr="005E23D7">
        <w:rPr>
          <w:rFonts w:ascii="Times New Roman" w:hAnsi="Times New Roman" w:cs="Times New Roman"/>
          <w:sz w:val="24"/>
          <w:szCs w:val="24"/>
        </w:rPr>
        <w:t xml:space="preserve">Tāpat arī izstrādātas </w:t>
      </w:r>
      <w:r w:rsidRPr="005E23D7">
        <w:rPr>
          <w:rFonts w:ascii="Times New Roman" w:hAnsi="Times New Roman" w:cs="Times New Roman"/>
          <w:sz w:val="24"/>
          <w:szCs w:val="24"/>
          <w:u w:val="single"/>
        </w:rPr>
        <w:t>atbalsta programmas uzņēmumu energoefektivitātei un atjaunojamo energoresursu ieviešanai, kā arī daudzdzīvokļu māju energoefektivitātei un elektroenerģijas pārvades un sadales tīklu modernizācijai.</w:t>
      </w:r>
    </w:p>
    <w:p w14:paraId="3146488B" w14:textId="77777777" w:rsidR="002F0601" w:rsidRPr="005E23D7" w:rsidRDefault="002F0601" w:rsidP="005E23D7">
      <w:pPr>
        <w:spacing w:after="0" w:line="240" w:lineRule="auto"/>
        <w:jc w:val="both"/>
        <w:rPr>
          <w:rFonts w:ascii="Times New Roman" w:hAnsi="Times New Roman" w:cs="Times New Roman"/>
          <w:sz w:val="24"/>
          <w:szCs w:val="24"/>
        </w:rPr>
      </w:pPr>
    </w:p>
    <w:p w14:paraId="6CC7202C" w14:textId="6F15B2E0" w:rsidR="00BA736F" w:rsidRPr="005E23D7" w:rsidRDefault="008E5463" w:rsidP="005E23D7">
      <w:pPr>
        <w:spacing w:after="0" w:line="240" w:lineRule="auto"/>
        <w:jc w:val="both"/>
        <w:rPr>
          <w:rFonts w:ascii="Times New Roman" w:hAnsi="Times New Roman" w:cs="Times New Roman"/>
          <w:color w:val="242424"/>
          <w:sz w:val="24"/>
          <w:szCs w:val="24"/>
          <w:shd w:val="clear" w:color="auto" w:fill="FFFFFF"/>
        </w:rPr>
      </w:pPr>
      <w:r w:rsidRPr="005E23D7">
        <w:rPr>
          <w:rFonts w:ascii="Times New Roman" w:hAnsi="Times New Roman" w:cs="Times New Roman"/>
          <w:sz w:val="24"/>
          <w:szCs w:val="24"/>
        </w:rPr>
        <w:t xml:space="preserve">Ņemot vērā šī gada globālos notikumus, tai skaitā Krievijas uzsākto karu Ukrainā, Latvija pieņēma virkni stratēģisku un vēsturisku lēmumu. </w:t>
      </w:r>
      <w:r w:rsidR="002F0601" w:rsidRPr="005E23D7">
        <w:rPr>
          <w:rFonts w:ascii="Times New Roman" w:hAnsi="Times New Roman" w:cs="Times New Roman"/>
          <w:sz w:val="24"/>
          <w:szCs w:val="24"/>
        </w:rPr>
        <w:t xml:space="preserve">Pieņemts lēmums </w:t>
      </w:r>
      <w:r w:rsidRPr="005E23D7">
        <w:rPr>
          <w:rFonts w:ascii="Times New Roman" w:hAnsi="Times New Roman" w:cs="Times New Roman"/>
          <w:sz w:val="24"/>
          <w:szCs w:val="24"/>
        </w:rPr>
        <w:t>par atteikšanos no Krievijas dabasgāzes un elektroenerģijas piegādēm, vienlaikus aktīvi meklējot alternatīvos risinājumus un jaunus energoresursu piegādātājus</w:t>
      </w:r>
      <w:r w:rsidR="00021E41" w:rsidRPr="005E23D7">
        <w:rPr>
          <w:rFonts w:ascii="Times New Roman" w:hAnsi="Times New Roman" w:cs="Times New Roman"/>
          <w:sz w:val="24"/>
          <w:szCs w:val="24"/>
        </w:rPr>
        <w:t>, kā arī lemjot par enerģētiskās drošības stiprināšanas pasākumiem</w:t>
      </w:r>
      <w:r w:rsidRPr="005E23D7">
        <w:rPr>
          <w:rFonts w:ascii="Times New Roman" w:hAnsi="Times New Roman" w:cs="Times New Roman"/>
          <w:sz w:val="24"/>
          <w:szCs w:val="24"/>
        </w:rPr>
        <w:t xml:space="preserve">. </w:t>
      </w:r>
      <w:r w:rsidR="00D219BF" w:rsidRPr="005E23D7">
        <w:rPr>
          <w:rFonts w:ascii="Times New Roman" w:hAnsi="Times New Roman" w:cs="Times New Roman"/>
          <w:sz w:val="24"/>
          <w:szCs w:val="24"/>
        </w:rPr>
        <w:t xml:space="preserve">Šogad tika </w:t>
      </w:r>
      <w:r w:rsidR="00BA736F" w:rsidRPr="005E23D7">
        <w:rPr>
          <w:rFonts w:ascii="Times New Roman" w:eastAsia="Times New Roman" w:hAnsi="Times New Roman" w:cs="Times New Roman"/>
          <w:sz w:val="24"/>
          <w:szCs w:val="24"/>
        </w:rPr>
        <w:t xml:space="preserve">nodrošinātas gan vajadzīgās dabasgāzes rezerves īstermiņā, gan apstiprināti plāni attiecībā uz kaimiņvalstu sašķidrinātās dabasgāzes termināļu izmantošanu īstermiņā, gan sava termināļa izbūvi tuvākajos gados. Valdība </w:t>
      </w:r>
      <w:r w:rsidR="00BA736F" w:rsidRPr="005E23D7">
        <w:rPr>
          <w:rFonts w:ascii="Times New Roman" w:hAnsi="Times New Roman" w:cs="Times New Roman"/>
          <w:color w:val="242424"/>
          <w:sz w:val="24"/>
          <w:szCs w:val="24"/>
          <w:shd w:val="clear" w:color="auto" w:fill="FFFFFF"/>
        </w:rPr>
        <w:t>lēma</w:t>
      </w:r>
      <w:r w:rsidR="00D219BF" w:rsidRPr="005E23D7">
        <w:rPr>
          <w:rFonts w:ascii="Times New Roman" w:hAnsi="Times New Roman" w:cs="Times New Roman"/>
          <w:color w:val="242424"/>
          <w:sz w:val="24"/>
          <w:szCs w:val="24"/>
          <w:shd w:val="clear" w:color="auto" w:fill="FFFFFF"/>
        </w:rPr>
        <w:t xml:space="preserve"> par</w:t>
      </w:r>
      <w:r w:rsidR="00BA736F" w:rsidRPr="005E23D7">
        <w:rPr>
          <w:rFonts w:ascii="Times New Roman" w:hAnsi="Times New Roman" w:cs="Times New Roman"/>
          <w:color w:val="242424"/>
          <w:sz w:val="24"/>
          <w:szCs w:val="24"/>
          <w:shd w:val="clear" w:color="auto" w:fill="FFFFFF"/>
        </w:rPr>
        <w:t xml:space="preserve"> </w:t>
      </w:r>
      <w:r w:rsidR="00D219BF" w:rsidRPr="005E23D7">
        <w:rPr>
          <w:rFonts w:ascii="Times New Roman" w:hAnsi="Times New Roman" w:cs="Times New Roman"/>
          <w:color w:val="242424"/>
          <w:sz w:val="24"/>
          <w:szCs w:val="24"/>
          <w:shd w:val="clear" w:color="auto" w:fill="FFFFFF"/>
        </w:rPr>
        <w:t xml:space="preserve">nacionālo interešu objekta statusa piešķiršanu </w:t>
      </w:r>
      <w:r w:rsidR="00BA736F" w:rsidRPr="005E23D7">
        <w:rPr>
          <w:rFonts w:ascii="Times New Roman" w:hAnsi="Times New Roman" w:cs="Times New Roman"/>
          <w:color w:val="242424"/>
          <w:sz w:val="24"/>
          <w:szCs w:val="24"/>
          <w:shd w:val="clear" w:color="auto" w:fill="FFFFFF"/>
        </w:rPr>
        <w:t>Latvijas sašķidrinātās dabasgāzes termināļa projektam Skultē, kas ļaus šā projekta īstenošanā piemērot ātrākas un vienkāršākas administratīvās procedūras.</w:t>
      </w:r>
    </w:p>
    <w:p w14:paraId="2E7C2DCB" w14:textId="77777777" w:rsidR="00A64255" w:rsidRPr="005E23D7" w:rsidRDefault="00A64255" w:rsidP="005E23D7">
      <w:pPr>
        <w:spacing w:after="0" w:line="240" w:lineRule="auto"/>
        <w:jc w:val="both"/>
        <w:rPr>
          <w:rFonts w:ascii="Times New Roman" w:eastAsia="Times New Roman" w:hAnsi="Times New Roman" w:cs="Times New Roman"/>
          <w:sz w:val="24"/>
          <w:szCs w:val="24"/>
        </w:rPr>
      </w:pPr>
    </w:p>
    <w:p w14:paraId="2E2A20F6" w14:textId="6CF5864E" w:rsidR="00BA736F" w:rsidRPr="005E23D7" w:rsidRDefault="00D219BF" w:rsidP="005E23D7">
      <w:pPr>
        <w:spacing w:after="0" w:line="240" w:lineRule="auto"/>
        <w:jc w:val="both"/>
        <w:rPr>
          <w:rFonts w:ascii="Times New Roman" w:hAnsi="Times New Roman" w:cs="Times New Roman"/>
          <w:sz w:val="24"/>
          <w:szCs w:val="24"/>
        </w:rPr>
      </w:pPr>
      <w:r w:rsidRPr="005E23D7">
        <w:rPr>
          <w:rFonts w:ascii="Times New Roman" w:eastAsia="Times New Roman" w:hAnsi="Times New Roman" w:cs="Times New Roman"/>
          <w:sz w:val="24"/>
          <w:szCs w:val="24"/>
        </w:rPr>
        <w:lastRenderedPageBreak/>
        <w:t xml:space="preserve">Turklāt, </w:t>
      </w:r>
      <w:r w:rsidR="00BA736F" w:rsidRPr="005E23D7">
        <w:rPr>
          <w:rFonts w:ascii="Times New Roman" w:eastAsia="Times New Roman" w:hAnsi="Times New Roman" w:cs="Times New Roman"/>
          <w:sz w:val="24"/>
          <w:szCs w:val="24"/>
        </w:rPr>
        <w:t xml:space="preserve">Latvija ir viena no retajām valstīm Eiropas Savienībā, kam ir solidaritātes līgumi ar kaimiņiem par gāzes apgādi enerģētiskās krīzes situācijās - </w:t>
      </w:r>
      <w:r w:rsidR="00BA736F" w:rsidRPr="005E23D7">
        <w:rPr>
          <w:rFonts w:ascii="Times New Roman" w:hAnsi="Times New Roman" w:cs="Times New Roman"/>
          <w:sz w:val="24"/>
          <w:szCs w:val="24"/>
        </w:rPr>
        <w:t>šā gada 4. janvārī ekonomikas ministrs parakstīja līgumu ar Igaunijas Republikas valdību</w:t>
      </w:r>
      <w:r w:rsidR="00337B1E" w:rsidRPr="005E23D7">
        <w:rPr>
          <w:rFonts w:ascii="Times New Roman" w:hAnsi="Times New Roman" w:cs="Times New Roman"/>
          <w:sz w:val="24"/>
          <w:szCs w:val="24"/>
        </w:rPr>
        <w:t>, bet 10. martā ar Lietuvas Republikas valdību</w:t>
      </w:r>
      <w:r w:rsidR="00BA736F" w:rsidRPr="005E23D7">
        <w:rPr>
          <w:rFonts w:ascii="Times New Roman" w:hAnsi="Times New Roman" w:cs="Times New Roman"/>
          <w:sz w:val="24"/>
          <w:szCs w:val="24"/>
        </w:rPr>
        <w:t xml:space="preserve"> par solidaritātes pasākumiem gāzes piegādes drošības aizsardzībai. </w:t>
      </w:r>
    </w:p>
    <w:p w14:paraId="222E5C11" w14:textId="77777777" w:rsidR="00A64255" w:rsidRPr="005E23D7" w:rsidRDefault="00A64255" w:rsidP="005E23D7">
      <w:pPr>
        <w:spacing w:after="0" w:line="240" w:lineRule="auto"/>
        <w:jc w:val="both"/>
        <w:rPr>
          <w:rFonts w:ascii="Times New Roman" w:hAnsi="Times New Roman" w:cs="Times New Roman"/>
          <w:b/>
          <w:bCs/>
          <w:color w:val="242424"/>
          <w:sz w:val="24"/>
          <w:szCs w:val="24"/>
          <w:shd w:val="clear" w:color="auto" w:fill="FFFFFF"/>
        </w:rPr>
      </w:pPr>
    </w:p>
    <w:p w14:paraId="213F4347" w14:textId="77777777" w:rsidR="00BA736F" w:rsidRPr="005E23D7" w:rsidRDefault="00BA736F" w:rsidP="005E23D7">
      <w:pPr>
        <w:spacing w:after="0" w:line="240" w:lineRule="auto"/>
        <w:jc w:val="both"/>
        <w:rPr>
          <w:rFonts w:ascii="Times New Roman" w:eastAsia="Times New Roman" w:hAnsi="Times New Roman" w:cs="Times New Roman"/>
          <w:sz w:val="24"/>
          <w:szCs w:val="24"/>
        </w:rPr>
      </w:pPr>
      <w:r w:rsidRPr="005E23D7">
        <w:rPr>
          <w:rFonts w:ascii="Times New Roman" w:eastAsia="Times New Roman" w:hAnsi="Times New Roman" w:cs="Times New Roman"/>
          <w:sz w:val="24"/>
          <w:szCs w:val="24"/>
        </w:rPr>
        <w:t>Panākts vēsturisks lēmums par valsts naftas drošības rezervju modeļa maiņu, kas nodrošinās naftas produktu pieejamību un stiprinās valsts enerģētisko drošību, kā arī palielinot naftas produktu drošības rezervju apjomu, kas glabājās Latvijas teritorijā.</w:t>
      </w:r>
    </w:p>
    <w:p w14:paraId="1304C054" w14:textId="77777777" w:rsidR="00021E41" w:rsidRPr="005E23D7" w:rsidRDefault="00021E41" w:rsidP="005E23D7">
      <w:pPr>
        <w:spacing w:after="0" w:line="240" w:lineRule="auto"/>
        <w:jc w:val="both"/>
        <w:rPr>
          <w:rFonts w:ascii="Times New Roman" w:hAnsi="Times New Roman" w:cs="Times New Roman"/>
          <w:sz w:val="24"/>
          <w:szCs w:val="24"/>
        </w:rPr>
      </w:pPr>
    </w:p>
    <w:p w14:paraId="38531F92" w14:textId="5405C758" w:rsidR="00021E41" w:rsidRDefault="00021E41" w:rsidP="005E23D7">
      <w:pPr>
        <w:spacing w:after="0" w:line="240" w:lineRule="auto"/>
        <w:jc w:val="both"/>
        <w:rPr>
          <w:rFonts w:ascii="Times New Roman" w:eastAsia="Times New Roman" w:hAnsi="Times New Roman" w:cs="Times New Roman"/>
          <w:sz w:val="24"/>
          <w:szCs w:val="24"/>
        </w:rPr>
      </w:pPr>
      <w:r w:rsidRPr="005E23D7">
        <w:rPr>
          <w:rFonts w:ascii="Times New Roman" w:eastAsia="Times New Roman" w:hAnsi="Times New Roman" w:cs="Times New Roman"/>
          <w:sz w:val="24"/>
          <w:szCs w:val="24"/>
        </w:rPr>
        <w:t xml:space="preserve">Latvijas enerģētiskās neatkarības un drošības stiprināšanai Ministru kabinets </w:t>
      </w:r>
      <w:r w:rsidR="00BA736F" w:rsidRPr="005E23D7">
        <w:rPr>
          <w:rFonts w:ascii="Times New Roman" w:eastAsia="Times New Roman" w:hAnsi="Times New Roman" w:cs="Times New Roman"/>
          <w:sz w:val="24"/>
          <w:szCs w:val="24"/>
        </w:rPr>
        <w:t>ļāva</w:t>
      </w:r>
      <w:r w:rsidRPr="005E23D7">
        <w:rPr>
          <w:rFonts w:ascii="Times New Roman" w:eastAsia="Times New Roman" w:hAnsi="Times New Roman" w:cs="Times New Roman"/>
          <w:sz w:val="24"/>
          <w:szCs w:val="24"/>
        </w:rPr>
        <w:t xml:space="preserve"> akciju sabiedrībai "Latvenergo" un akciju sabiedrībai "Latvijas valsts meži" </w:t>
      </w:r>
      <w:r w:rsidR="00BA736F" w:rsidRPr="005E23D7">
        <w:rPr>
          <w:rFonts w:ascii="Times New Roman" w:eastAsia="Times New Roman" w:hAnsi="Times New Roman" w:cs="Times New Roman"/>
          <w:sz w:val="24"/>
          <w:szCs w:val="24"/>
        </w:rPr>
        <w:t>dibinā</w:t>
      </w:r>
      <w:r w:rsidR="00066642" w:rsidRPr="005E23D7">
        <w:rPr>
          <w:rFonts w:ascii="Times New Roman" w:eastAsia="Times New Roman" w:hAnsi="Times New Roman" w:cs="Times New Roman"/>
          <w:sz w:val="24"/>
          <w:szCs w:val="24"/>
        </w:rPr>
        <w:t>t</w:t>
      </w:r>
      <w:r w:rsidR="00BA736F" w:rsidRPr="005E23D7">
        <w:rPr>
          <w:rFonts w:ascii="Times New Roman" w:eastAsia="Times New Roman" w:hAnsi="Times New Roman" w:cs="Times New Roman"/>
          <w:sz w:val="24"/>
          <w:szCs w:val="24"/>
        </w:rPr>
        <w:t xml:space="preserve"> </w:t>
      </w:r>
      <w:r w:rsidRPr="005E23D7">
        <w:rPr>
          <w:rFonts w:ascii="Times New Roman" w:eastAsia="Times New Roman" w:hAnsi="Times New Roman" w:cs="Times New Roman"/>
          <w:sz w:val="24"/>
          <w:szCs w:val="24"/>
        </w:rPr>
        <w:t>kopuzņēmum</w:t>
      </w:r>
      <w:r w:rsidR="00BA736F" w:rsidRPr="005E23D7">
        <w:rPr>
          <w:rFonts w:ascii="Times New Roman" w:eastAsia="Times New Roman" w:hAnsi="Times New Roman" w:cs="Times New Roman"/>
          <w:sz w:val="24"/>
          <w:szCs w:val="24"/>
        </w:rPr>
        <w:t>u</w:t>
      </w:r>
      <w:r w:rsidRPr="005E23D7">
        <w:rPr>
          <w:rFonts w:ascii="Times New Roman" w:eastAsia="Times New Roman" w:hAnsi="Times New Roman" w:cs="Times New Roman"/>
          <w:sz w:val="24"/>
          <w:szCs w:val="24"/>
        </w:rPr>
        <w:t xml:space="preserve">, lai izveidotu </w:t>
      </w:r>
      <w:r w:rsidRPr="005E23D7">
        <w:rPr>
          <w:rFonts w:ascii="Times New Roman" w:hAnsi="Times New Roman" w:cs="Times New Roman"/>
          <w:sz w:val="24"/>
          <w:szCs w:val="24"/>
        </w:rPr>
        <w:t>stratēģiskas nozīmes lielas jaudas vēja enerģijas parkus</w:t>
      </w:r>
      <w:r w:rsidRPr="005E23D7">
        <w:rPr>
          <w:rFonts w:ascii="Times New Roman" w:eastAsia="Times New Roman" w:hAnsi="Times New Roman" w:cs="Times New Roman"/>
          <w:sz w:val="24"/>
          <w:szCs w:val="24"/>
        </w:rPr>
        <w:t>. Projekta mērķis ir sasniegt līdz 800 megavatu lielu jaudu vairākos lielos vēja parkos visā Latvijā, kas būs gandrīz tāda pati elektriskā jauda, kas tiek saražota mūsu lielākajā hidroelektrostacijā - Pļaviņu HES.</w:t>
      </w:r>
    </w:p>
    <w:p w14:paraId="7CBD4BE3" w14:textId="05154A44" w:rsidR="004C4624" w:rsidRDefault="004C4624" w:rsidP="005E23D7">
      <w:pPr>
        <w:spacing w:after="0" w:line="240" w:lineRule="auto"/>
        <w:jc w:val="both"/>
        <w:rPr>
          <w:rFonts w:ascii="Times New Roman" w:eastAsia="Times New Roman" w:hAnsi="Times New Roman" w:cs="Times New Roman"/>
          <w:sz w:val="24"/>
          <w:szCs w:val="24"/>
        </w:rPr>
      </w:pPr>
    </w:p>
    <w:p w14:paraId="1CCEBD7D" w14:textId="44B4BE26" w:rsidR="004C4624" w:rsidRDefault="004C4624" w:rsidP="005E23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Plašāka informācija par būtiskākajiem lēmumiem enerģētiskās drošības stiprināšanai pieejama </w:t>
      </w:r>
      <w:hyperlink r:id="rId7" w:history="1">
        <w:r w:rsidRPr="004C4624">
          <w:rPr>
            <w:rStyle w:val="Hyperlink"/>
            <w:rFonts w:ascii="Times New Roman" w:eastAsia="Times New Roman" w:hAnsi="Times New Roman" w:cs="Times New Roman"/>
            <w:sz w:val="24"/>
            <w:szCs w:val="24"/>
          </w:rPr>
          <w:t>šeit.</w:t>
        </w:r>
      </w:hyperlink>
    </w:p>
    <w:p w14:paraId="7B7F7E1B" w14:textId="6515DE13" w:rsidR="004C4624" w:rsidRDefault="004C4624" w:rsidP="005E23D7">
      <w:pPr>
        <w:spacing w:after="0" w:line="240" w:lineRule="auto"/>
        <w:jc w:val="both"/>
        <w:rPr>
          <w:rFonts w:ascii="Times New Roman" w:eastAsia="Times New Roman" w:hAnsi="Times New Roman" w:cs="Times New Roman"/>
          <w:sz w:val="24"/>
          <w:szCs w:val="24"/>
        </w:rPr>
      </w:pPr>
    </w:p>
    <w:p w14:paraId="698840A0" w14:textId="77777777" w:rsidR="004C4624" w:rsidRPr="005E23D7" w:rsidRDefault="004C4624" w:rsidP="004C4624">
      <w:pPr>
        <w:spacing w:after="0" w:line="240" w:lineRule="auto"/>
        <w:jc w:val="both"/>
        <w:rPr>
          <w:rFonts w:ascii="Times New Roman" w:hAnsi="Times New Roman" w:cs="Times New Roman"/>
          <w:b/>
          <w:bCs/>
          <w:sz w:val="24"/>
          <w:szCs w:val="24"/>
        </w:rPr>
      </w:pPr>
      <w:r w:rsidRPr="005E23D7">
        <w:rPr>
          <w:rFonts w:ascii="Times New Roman" w:hAnsi="Times New Roman" w:cs="Times New Roman"/>
          <w:b/>
          <w:bCs/>
          <w:sz w:val="24"/>
          <w:szCs w:val="24"/>
        </w:rPr>
        <w:t>Atbalsts mājsaimniecībām un juridiskajām personām energoresursu straujā cenu kāpuma ietekmes mazināšanai</w:t>
      </w:r>
    </w:p>
    <w:p w14:paraId="2B241E4E" w14:textId="77777777" w:rsidR="004C4624" w:rsidRDefault="004C4624" w:rsidP="004C4624">
      <w:pPr>
        <w:spacing w:after="0" w:line="240" w:lineRule="auto"/>
        <w:jc w:val="both"/>
        <w:rPr>
          <w:rFonts w:ascii="Times New Roman" w:hAnsi="Times New Roman" w:cs="Times New Roman"/>
          <w:sz w:val="24"/>
          <w:szCs w:val="24"/>
        </w:rPr>
      </w:pPr>
    </w:p>
    <w:p w14:paraId="23AB6A8F" w14:textId="77777777" w:rsidR="004C4624" w:rsidRPr="005E23D7" w:rsidRDefault="004C4624" w:rsidP="004C4624">
      <w:pPr>
        <w:spacing w:after="0" w:line="240" w:lineRule="auto"/>
        <w:jc w:val="both"/>
        <w:rPr>
          <w:rFonts w:ascii="Times New Roman" w:hAnsi="Times New Roman" w:cs="Times New Roman"/>
          <w:sz w:val="24"/>
          <w:szCs w:val="24"/>
        </w:rPr>
      </w:pPr>
      <w:r w:rsidRPr="005E23D7">
        <w:rPr>
          <w:rFonts w:ascii="Times New Roman" w:hAnsi="Times New Roman" w:cs="Times New Roman"/>
          <w:sz w:val="24"/>
          <w:szCs w:val="24"/>
        </w:rPr>
        <w:t xml:space="preserve">Lai palīdzētu iedzīvotājiem un uzņēmējiem pārvarēt energoresursu straujā cenu kāpuma negatīvo ietekmi, kā arī, lai sekmētu finanšu pieejamību izdevumu mazināšanai par energoresursiem kā īstermiņā, tā arī ilgtermiņā, Ekonomikas ministrija 2022. gadā īstenoja virkni būtisku pasākumu. To ietvaros ieviesti dažādi atbalsta instrumenti. </w:t>
      </w:r>
    </w:p>
    <w:p w14:paraId="0223A9B9" w14:textId="77777777" w:rsidR="004C4624" w:rsidRPr="005E23D7" w:rsidRDefault="004C4624" w:rsidP="004C4624">
      <w:pPr>
        <w:spacing w:after="0" w:line="240" w:lineRule="auto"/>
        <w:jc w:val="both"/>
        <w:rPr>
          <w:rFonts w:ascii="Times New Roman" w:hAnsi="Times New Roman" w:cs="Times New Roman"/>
          <w:sz w:val="24"/>
          <w:szCs w:val="24"/>
        </w:rPr>
      </w:pPr>
    </w:p>
    <w:p w14:paraId="2D32D368" w14:textId="77777777" w:rsidR="004C4624" w:rsidRPr="005E23D7" w:rsidRDefault="004C4624" w:rsidP="004C4624">
      <w:pPr>
        <w:pStyle w:val="NormalWeb"/>
        <w:shd w:val="clear" w:color="auto" w:fill="FFFFFF"/>
        <w:spacing w:before="0" w:beforeAutospacing="0" w:after="0" w:afterAutospacing="0"/>
        <w:jc w:val="both"/>
        <w:rPr>
          <w:color w:val="242424"/>
        </w:rPr>
      </w:pPr>
      <w:r w:rsidRPr="005E23D7">
        <w:rPr>
          <w:color w:val="242424"/>
        </w:rPr>
        <w:t xml:space="preserve">Energoresursu cenu straujā kāpuma negatīvās ietekmes mazināšanai, EM izstrādāja un ieviesa </w:t>
      </w:r>
      <w:r w:rsidRPr="005E23D7">
        <w:rPr>
          <w:color w:val="242424"/>
          <w:u w:val="single"/>
        </w:rPr>
        <w:t>krīzes atbalsta pasākumus gan 2021/2022. gada (no 2022.gada 1. janvāra līdz 2022. gada 30.aprīlim), gan šajā apkures sezonā (</w:t>
      </w:r>
      <w:r w:rsidRPr="005E23D7">
        <w:rPr>
          <w:color w:val="212529"/>
          <w:u w:val="single"/>
          <w:shd w:val="clear" w:color="auto" w:fill="FFFFFF"/>
        </w:rPr>
        <w:t>no š.g. 1. oktobra līdz 2023. gada 30. aprīlim</w:t>
      </w:r>
      <w:r w:rsidRPr="005E23D7">
        <w:rPr>
          <w:color w:val="242424"/>
          <w:u w:val="single"/>
        </w:rPr>
        <w:t>) mājsaimniecībām un uzņēmējiem.</w:t>
      </w:r>
      <w:r w:rsidRPr="005E23D7">
        <w:rPr>
          <w:color w:val="242424"/>
        </w:rPr>
        <w:t xml:space="preserve"> Tostarp ieviesti</w:t>
      </w:r>
      <w:r w:rsidRPr="005E23D7">
        <w:rPr>
          <w:rStyle w:val="Strong"/>
          <w:b w:val="0"/>
          <w:bCs w:val="0"/>
          <w:color w:val="212529"/>
          <w:shd w:val="clear" w:color="auto" w:fill="FFFFFF"/>
        </w:rPr>
        <w:t xml:space="preserve"> atbalsta instrumenti energoresursu cenu pieauguma kompensēšanai mājsaimniecībām, kas apkurē izmanto elektroenerģiju, dabasgāzi, koksnes briketes, koksnes granulas un malku, kā arī centralizētās siltumapgādes pakalpojumu;</w:t>
      </w:r>
      <w:r w:rsidRPr="005E23D7">
        <w:rPr>
          <w:color w:val="212529"/>
          <w:shd w:val="clear" w:color="auto" w:fill="FFFFFF"/>
        </w:rPr>
        <w:t xml:space="preserve"> </w:t>
      </w:r>
      <w:r w:rsidRPr="005E23D7">
        <w:rPr>
          <w:rStyle w:val="Strong"/>
          <w:b w:val="0"/>
          <w:bCs w:val="0"/>
          <w:color w:val="212529"/>
        </w:rPr>
        <w:t>visām mājsaimniecībām</w:t>
      </w:r>
      <w:r w:rsidRPr="005E23D7">
        <w:rPr>
          <w:b/>
          <w:bCs/>
          <w:color w:val="212529"/>
        </w:rPr>
        <w:t xml:space="preserve"> </w:t>
      </w:r>
      <w:r w:rsidRPr="005E23D7">
        <w:rPr>
          <w:rStyle w:val="Strong"/>
          <w:b w:val="0"/>
          <w:bCs w:val="0"/>
          <w:color w:val="212529"/>
        </w:rPr>
        <w:t>noteikts vienots</w:t>
      </w:r>
      <w:r w:rsidRPr="005E23D7">
        <w:rPr>
          <w:b/>
          <w:bCs/>
          <w:color w:val="212529"/>
        </w:rPr>
        <w:t xml:space="preserve"> </w:t>
      </w:r>
      <w:r w:rsidRPr="005E23D7">
        <w:rPr>
          <w:rStyle w:val="Strong"/>
          <w:b w:val="0"/>
          <w:bCs w:val="0"/>
          <w:color w:val="212529"/>
        </w:rPr>
        <w:t>dabasgāzes cenas slieksnis. Tāpat sniegts</w:t>
      </w:r>
      <w:r w:rsidRPr="005E23D7">
        <w:rPr>
          <w:color w:val="212529"/>
          <w:shd w:val="clear" w:color="auto" w:fill="FFFFFF"/>
        </w:rPr>
        <w:t xml:space="preserve"> atbalsts </w:t>
      </w:r>
      <w:r w:rsidRPr="005E23D7">
        <w:rPr>
          <w:rStyle w:val="Strong"/>
          <w:b w:val="0"/>
          <w:bCs w:val="0"/>
          <w:color w:val="212529"/>
          <w:shd w:val="clear" w:color="auto" w:fill="FFFFFF"/>
        </w:rPr>
        <w:t xml:space="preserve">elektroenerģijas cenas pieauguma kompensēšanai. </w:t>
      </w:r>
    </w:p>
    <w:p w14:paraId="11E51547" w14:textId="77777777" w:rsidR="004C4624" w:rsidRDefault="004C4624" w:rsidP="004C4624">
      <w:pPr>
        <w:spacing w:after="0" w:line="240" w:lineRule="auto"/>
        <w:jc w:val="both"/>
        <w:rPr>
          <w:rFonts w:ascii="Times New Roman" w:hAnsi="Times New Roman" w:cs="Times New Roman"/>
          <w:sz w:val="24"/>
          <w:szCs w:val="24"/>
        </w:rPr>
      </w:pPr>
    </w:p>
    <w:p w14:paraId="1C6DFCC4" w14:textId="77777777" w:rsidR="004C4624" w:rsidRPr="005E23D7" w:rsidRDefault="004C4624" w:rsidP="004C4624">
      <w:pPr>
        <w:spacing w:after="0" w:line="240" w:lineRule="auto"/>
        <w:jc w:val="both"/>
        <w:rPr>
          <w:rFonts w:ascii="Times New Roman" w:hAnsi="Times New Roman" w:cs="Times New Roman"/>
          <w:sz w:val="24"/>
          <w:szCs w:val="24"/>
          <w:u w:val="single"/>
        </w:rPr>
      </w:pPr>
      <w:r w:rsidRPr="005E23D7">
        <w:rPr>
          <w:rFonts w:ascii="Times New Roman" w:hAnsi="Times New Roman" w:cs="Times New Roman"/>
          <w:sz w:val="24"/>
          <w:szCs w:val="24"/>
        </w:rPr>
        <w:t>Papildus tam, no 2022. gada 1. septembra līdz 2025. gada 31. decembrim elektroenerģijas obligātā iepirkuma komponentes (turpmāk – OIK) vidējā likme noteikta 0 eiro/</w:t>
      </w:r>
      <w:proofErr w:type="spellStart"/>
      <w:r w:rsidRPr="005E23D7">
        <w:rPr>
          <w:rFonts w:ascii="Times New Roman" w:hAnsi="Times New Roman" w:cs="Times New Roman"/>
          <w:sz w:val="24"/>
          <w:szCs w:val="24"/>
        </w:rPr>
        <w:t>MWh</w:t>
      </w:r>
      <w:proofErr w:type="spellEnd"/>
      <w:r w:rsidRPr="005E23D7">
        <w:rPr>
          <w:rFonts w:ascii="Times New Roman" w:hAnsi="Times New Roman" w:cs="Times New Roman"/>
          <w:sz w:val="24"/>
          <w:szCs w:val="24"/>
        </w:rPr>
        <w:t xml:space="preserve">, obligātā iepirkuma atbalsta izmaksas sedzot no AS “Latvenergo” dividenžu ieņēmumiem. Tas nozīmē, ka </w:t>
      </w:r>
      <w:r w:rsidRPr="005E23D7">
        <w:rPr>
          <w:rFonts w:ascii="Times New Roman" w:hAnsi="Times New Roman" w:cs="Times New Roman"/>
          <w:sz w:val="24"/>
          <w:szCs w:val="24"/>
          <w:u w:val="single"/>
        </w:rPr>
        <w:t xml:space="preserve">OIK maksājums Latvijas elektroenerģijas galalietotājiem faktiski ir atcelts. </w:t>
      </w:r>
    </w:p>
    <w:p w14:paraId="4286B8FB" w14:textId="77777777" w:rsidR="004C4624" w:rsidRDefault="004C4624" w:rsidP="004C4624">
      <w:pPr>
        <w:spacing w:after="0" w:line="240" w:lineRule="auto"/>
        <w:jc w:val="both"/>
        <w:rPr>
          <w:rStyle w:val="Strong"/>
          <w:rFonts w:ascii="Times New Roman" w:hAnsi="Times New Roman" w:cs="Times New Roman"/>
          <w:b w:val="0"/>
          <w:bCs w:val="0"/>
          <w:color w:val="212529"/>
          <w:sz w:val="24"/>
          <w:szCs w:val="24"/>
          <w:shd w:val="clear" w:color="auto" w:fill="FFFFFF"/>
        </w:rPr>
      </w:pPr>
    </w:p>
    <w:p w14:paraId="45733D7D" w14:textId="77777777" w:rsidR="004C4624" w:rsidRPr="005E23D7" w:rsidRDefault="004C4624" w:rsidP="004C4624">
      <w:pPr>
        <w:spacing w:after="0" w:line="240" w:lineRule="auto"/>
        <w:jc w:val="both"/>
        <w:rPr>
          <w:rFonts w:ascii="Times New Roman" w:hAnsi="Times New Roman" w:cs="Times New Roman"/>
          <w:sz w:val="24"/>
          <w:szCs w:val="24"/>
        </w:rPr>
      </w:pPr>
      <w:r w:rsidRPr="005E23D7">
        <w:rPr>
          <w:rStyle w:val="Strong"/>
          <w:rFonts w:ascii="Times New Roman" w:hAnsi="Times New Roman" w:cs="Times New Roman"/>
          <w:b w:val="0"/>
          <w:bCs w:val="0"/>
          <w:color w:val="212529"/>
          <w:sz w:val="24"/>
          <w:szCs w:val="24"/>
          <w:shd w:val="clear" w:color="auto" w:fill="FFFFFF"/>
        </w:rPr>
        <w:t xml:space="preserve">Tāpat līdz 2023. gada 30. aprīlim pagarināts </w:t>
      </w:r>
      <w:r w:rsidRPr="005E23D7">
        <w:rPr>
          <w:rStyle w:val="Strong"/>
          <w:rFonts w:ascii="Times New Roman" w:hAnsi="Times New Roman" w:cs="Times New Roman"/>
          <w:b w:val="0"/>
          <w:bCs w:val="0"/>
          <w:color w:val="212529"/>
          <w:sz w:val="24"/>
          <w:szCs w:val="24"/>
          <w:u w:val="single"/>
          <w:shd w:val="clear" w:color="auto" w:fill="FFFFFF"/>
        </w:rPr>
        <w:t>palielinātais atbalsts visām aizsargātā lietotāja grupām,</w:t>
      </w:r>
      <w:r w:rsidRPr="005E23D7">
        <w:rPr>
          <w:rStyle w:val="Strong"/>
          <w:rFonts w:ascii="Times New Roman" w:hAnsi="Times New Roman" w:cs="Times New Roman"/>
          <w:b w:val="0"/>
          <w:bCs w:val="0"/>
          <w:color w:val="212529"/>
          <w:sz w:val="24"/>
          <w:szCs w:val="24"/>
          <w:shd w:val="clear" w:color="auto" w:fill="FFFFFF"/>
        </w:rPr>
        <w:t xml:space="preserve"> </w:t>
      </w:r>
      <w:r w:rsidRPr="005E23D7">
        <w:rPr>
          <w:rFonts w:ascii="Times New Roman" w:hAnsi="Times New Roman" w:cs="Times New Roman"/>
          <w:color w:val="212529"/>
          <w:sz w:val="24"/>
          <w:szCs w:val="24"/>
          <w:shd w:val="clear" w:color="auto" w:fill="FFFFFF"/>
        </w:rPr>
        <w:t xml:space="preserve">tai skaitā </w:t>
      </w:r>
      <w:proofErr w:type="spellStart"/>
      <w:r w:rsidRPr="005E23D7">
        <w:rPr>
          <w:rFonts w:ascii="Times New Roman" w:hAnsi="Times New Roman" w:cs="Times New Roman"/>
          <w:color w:val="212529"/>
          <w:sz w:val="24"/>
          <w:szCs w:val="24"/>
          <w:shd w:val="clear" w:color="auto" w:fill="FFFFFF"/>
        </w:rPr>
        <w:t>daudzbērnu</w:t>
      </w:r>
      <w:proofErr w:type="spellEnd"/>
      <w:r w:rsidRPr="005E23D7">
        <w:rPr>
          <w:rFonts w:ascii="Times New Roman" w:hAnsi="Times New Roman" w:cs="Times New Roman"/>
          <w:color w:val="212529"/>
          <w:sz w:val="24"/>
          <w:szCs w:val="24"/>
          <w:shd w:val="clear" w:color="auto" w:fill="FFFFFF"/>
        </w:rPr>
        <w:t xml:space="preserve"> ģimenēm, mazturīgām mājsaimniecībām un citiem. </w:t>
      </w:r>
      <w:r w:rsidRPr="005E23D7">
        <w:rPr>
          <w:rFonts w:ascii="Times New Roman" w:hAnsi="Times New Roman" w:cs="Times New Roman"/>
          <w:sz w:val="24"/>
          <w:szCs w:val="24"/>
        </w:rPr>
        <w:t>Aizsargāto lietotāju atbalstam 2023. gadā</w:t>
      </w:r>
      <w:r w:rsidRPr="005E23D7">
        <w:rPr>
          <w:rFonts w:ascii="Times New Roman" w:hAnsi="Times New Roman" w:cs="Times New Roman"/>
          <w:color w:val="212529"/>
          <w:sz w:val="24"/>
          <w:szCs w:val="24"/>
          <w:shd w:val="clear" w:color="auto" w:fill="FFFFFF"/>
        </w:rPr>
        <w:t xml:space="preserve"> piešķirti </w:t>
      </w:r>
      <w:r w:rsidRPr="005E23D7">
        <w:rPr>
          <w:rFonts w:ascii="Times New Roman" w:hAnsi="Times New Roman" w:cs="Times New Roman"/>
          <w:sz w:val="24"/>
          <w:szCs w:val="24"/>
        </w:rPr>
        <w:t>21 763 090 EUR.</w:t>
      </w:r>
    </w:p>
    <w:p w14:paraId="710AC91C" w14:textId="77777777" w:rsidR="004C4624" w:rsidRPr="005E23D7" w:rsidRDefault="004C4624" w:rsidP="004C4624">
      <w:pPr>
        <w:spacing w:after="0" w:line="240" w:lineRule="auto"/>
        <w:jc w:val="both"/>
        <w:rPr>
          <w:rFonts w:ascii="Times New Roman" w:hAnsi="Times New Roman" w:cs="Times New Roman"/>
          <w:color w:val="212529"/>
          <w:sz w:val="24"/>
          <w:szCs w:val="24"/>
          <w:shd w:val="clear" w:color="auto" w:fill="FFFFFF"/>
        </w:rPr>
      </w:pPr>
    </w:p>
    <w:p w14:paraId="45D23C2B" w14:textId="77777777" w:rsidR="004C4624" w:rsidRPr="005E23D7" w:rsidRDefault="004C4624" w:rsidP="004C4624">
      <w:pPr>
        <w:spacing w:after="0" w:line="240" w:lineRule="auto"/>
        <w:jc w:val="both"/>
        <w:rPr>
          <w:rFonts w:ascii="Times New Roman" w:hAnsi="Times New Roman" w:cs="Times New Roman"/>
          <w:color w:val="212529"/>
          <w:sz w:val="24"/>
          <w:szCs w:val="24"/>
          <w:shd w:val="clear" w:color="auto" w:fill="FFFFFF"/>
        </w:rPr>
      </w:pPr>
      <w:r w:rsidRPr="005E23D7">
        <w:rPr>
          <w:rStyle w:val="Strong"/>
          <w:rFonts w:ascii="Times New Roman" w:hAnsi="Times New Roman" w:cs="Times New Roman"/>
          <w:b w:val="0"/>
          <w:bCs w:val="0"/>
          <w:color w:val="212529"/>
          <w:sz w:val="24"/>
          <w:szCs w:val="24"/>
          <w:u w:val="single"/>
          <w:shd w:val="clear" w:color="auto" w:fill="FFFFFF"/>
        </w:rPr>
        <w:t xml:space="preserve">Energoietilpīgiem apstrādes rūpniecības komersantiem tiek kompensēts šogad piedzīvotais energoresursu cenu pieaugums </w:t>
      </w:r>
      <w:proofErr w:type="spellStart"/>
      <w:r w:rsidRPr="005E23D7">
        <w:rPr>
          <w:rStyle w:val="Strong"/>
          <w:rFonts w:ascii="Times New Roman" w:hAnsi="Times New Roman" w:cs="Times New Roman"/>
          <w:b w:val="0"/>
          <w:bCs w:val="0"/>
          <w:color w:val="212529"/>
          <w:sz w:val="24"/>
          <w:szCs w:val="24"/>
          <w:u w:val="single"/>
          <w:shd w:val="clear" w:color="auto" w:fill="FFFFFF"/>
        </w:rPr>
        <w:t>granta</w:t>
      </w:r>
      <w:proofErr w:type="spellEnd"/>
      <w:r w:rsidRPr="005E23D7">
        <w:rPr>
          <w:rStyle w:val="Strong"/>
          <w:rFonts w:ascii="Times New Roman" w:hAnsi="Times New Roman" w:cs="Times New Roman"/>
          <w:b w:val="0"/>
          <w:bCs w:val="0"/>
          <w:color w:val="212529"/>
          <w:sz w:val="24"/>
          <w:szCs w:val="24"/>
          <w:u w:val="single"/>
          <w:shd w:val="clear" w:color="auto" w:fill="FFFFFF"/>
        </w:rPr>
        <w:t xml:space="preserve"> (dāvinājuma) veidā</w:t>
      </w:r>
      <w:r w:rsidRPr="005E23D7">
        <w:rPr>
          <w:rStyle w:val="Strong"/>
          <w:rFonts w:ascii="Times New Roman" w:hAnsi="Times New Roman" w:cs="Times New Roman"/>
          <w:b w:val="0"/>
          <w:bCs w:val="0"/>
          <w:color w:val="212529"/>
          <w:sz w:val="24"/>
          <w:szCs w:val="24"/>
          <w:shd w:val="clear" w:color="auto" w:fill="FFFFFF"/>
        </w:rPr>
        <w:t xml:space="preserve"> par periodu no </w:t>
      </w:r>
      <w:r w:rsidRPr="005E23D7">
        <w:rPr>
          <w:rStyle w:val="Strong"/>
          <w:rFonts w:ascii="Times New Roman" w:hAnsi="Times New Roman" w:cs="Times New Roman"/>
          <w:b w:val="0"/>
          <w:bCs w:val="0"/>
          <w:color w:val="212529"/>
          <w:sz w:val="24"/>
          <w:szCs w:val="24"/>
          <w:shd w:val="clear" w:color="auto" w:fill="FFFFFF"/>
        </w:rPr>
        <w:lastRenderedPageBreak/>
        <w:t>2022. gada 1. februāra līdz 2022. gada 31. decembrim</w:t>
      </w:r>
      <w:r w:rsidRPr="005E23D7">
        <w:rPr>
          <w:rFonts w:ascii="Times New Roman" w:hAnsi="Times New Roman" w:cs="Times New Roman"/>
          <w:color w:val="212529"/>
          <w:sz w:val="24"/>
          <w:szCs w:val="24"/>
          <w:shd w:val="clear" w:color="auto" w:fill="FFFFFF"/>
        </w:rPr>
        <w:t xml:space="preserve">. Tāpat </w:t>
      </w:r>
      <w:r w:rsidRPr="005E23D7">
        <w:rPr>
          <w:rStyle w:val="Strong"/>
          <w:rFonts w:ascii="Times New Roman" w:hAnsi="Times New Roman" w:cs="Times New Roman"/>
          <w:b w:val="0"/>
          <w:bCs w:val="0"/>
          <w:color w:val="212529"/>
          <w:sz w:val="24"/>
          <w:szCs w:val="24"/>
          <w:shd w:val="clear" w:color="auto" w:fill="FFFFFF"/>
        </w:rPr>
        <w:t>no š.g. 1. oktobra līdz 2023. gada 30. aprīlim</w:t>
      </w:r>
      <w:r w:rsidRPr="005E23D7">
        <w:rPr>
          <w:rFonts w:ascii="Times New Roman" w:hAnsi="Times New Roman" w:cs="Times New Roman"/>
          <w:color w:val="212529"/>
          <w:sz w:val="24"/>
          <w:szCs w:val="24"/>
          <w:shd w:val="clear" w:color="auto" w:fill="FFFFFF"/>
        </w:rPr>
        <w:t xml:space="preserve"> </w:t>
      </w:r>
      <w:r w:rsidRPr="005E23D7">
        <w:rPr>
          <w:rStyle w:val="Strong"/>
          <w:rFonts w:ascii="Times New Roman" w:hAnsi="Times New Roman" w:cs="Times New Roman"/>
          <w:b w:val="0"/>
          <w:bCs w:val="0"/>
          <w:color w:val="212529"/>
          <w:sz w:val="24"/>
          <w:szCs w:val="24"/>
          <w:shd w:val="clear" w:color="auto" w:fill="FFFFFF"/>
        </w:rPr>
        <w:t>juridiskām personām</w:t>
      </w:r>
      <w:r w:rsidRPr="005E23D7">
        <w:rPr>
          <w:rFonts w:ascii="Times New Roman" w:hAnsi="Times New Roman" w:cs="Times New Roman"/>
          <w:color w:val="212529"/>
          <w:sz w:val="24"/>
          <w:szCs w:val="24"/>
          <w:shd w:val="clear" w:color="auto" w:fill="FFFFFF"/>
        </w:rPr>
        <w:t xml:space="preserve"> </w:t>
      </w:r>
      <w:r w:rsidRPr="005E23D7">
        <w:rPr>
          <w:rStyle w:val="Strong"/>
          <w:rFonts w:ascii="Times New Roman" w:hAnsi="Times New Roman" w:cs="Times New Roman"/>
          <w:b w:val="0"/>
          <w:bCs w:val="0"/>
          <w:color w:val="212529"/>
          <w:sz w:val="24"/>
          <w:szCs w:val="24"/>
          <w:shd w:val="clear" w:color="auto" w:fill="FFFFFF"/>
        </w:rPr>
        <w:t>pilnībā</w:t>
      </w:r>
      <w:r w:rsidRPr="005E23D7">
        <w:rPr>
          <w:rFonts w:ascii="Times New Roman" w:hAnsi="Times New Roman" w:cs="Times New Roman"/>
          <w:color w:val="212529"/>
          <w:sz w:val="24"/>
          <w:szCs w:val="24"/>
          <w:shd w:val="clear" w:color="auto" w:fill="FFFFFF"/>
        </w:rPr>
        <w:t xml:space="preserve"> </w:t>
      </w:r>
      <w:r w:rsidRPr="005E23D7">
        <w:rPr>
          <w:rStyle w:val="Strong"/>
          <w:rFonts w:ascii="Times New Roman" w:hAnsi="Times New Roman" w:cs="Times New Roman"/>
          <w:b w:val="0"/>
          <w:bCs w:val="0"/>
          <w:color w:val="212529"/>
          <w:sz w:val="24"/>
          <w:szCs w:val="24"/>
          <w:shd w:val="clear" w:color="auto" w:fill="FFFFFF"/>
        </w:rPr>
        <w:t>tiek</w:t>
      </w:r>
      <w:r w:rsidRPr="005E23D7">
        <w:rPr>
          <w:rFonts w:ascii="Times New Roman" w:hAnsi="Times New Roman" w:cs="Times New Roman"/>
          <w:color w:val="212529"/>
          <w:sz w:val="24"/>
          <w:szCs w:val="24"/>
          <w:shd w:val="clear" w:color="auto" w:fill="FFFFFF"/>
        </w:rPr>
        <w:t xml:space="preserve"> </w:t>
      </w:r>
      <w:r w:rsidRPr="005E23D7">
        <w:rPr>
          <w:rStyle w:val="Strong"/>
          <w:rFonts w:ascii="Times New Roman" w:hAnsi="Times New Roman" w:cs="Times New Roman"/>
          <w:b w:val="0"/>
          <w:bCs w:val="0"/>
          <w:color w:val="212529"/>
          <w:sz w:val="24"/>
          <w:szCs w:val="24"/>
          <w:shd w:val="clear" w:color="auto" w:fill="FFFFFF"/>
        </w:rPr>
        <w:t>kompensēta</w:t>
      </w:r>
      <w:r w:rsidRPr="005E23D7">
        <w:rPr>
          <w:rFonts w:ascii="Times New Roman" w:hAnsi="Times New Roman" w:cs="Times New Roman"/>
          <w:color w:val="212529"/>
          <w:sz w:val="24"/>
          <w:szCs w:val="24"/>
          <w:shd w:val="clear" w:color="auto" w:fill="FFFFFF"/>
        </w:rPr>
        <w:t xml:space="preserve"> </w:t>
      </w:r>
      <w:r w:rsidRPr="005E23D7">
        <w:rPr>
          <w:rStyle w:val="Strong"/>
          <w:rFonts w:ascii="Times New Roman" w:hAnsi="Times New Roman" w:cs="Times New Roman"/>
          <w:b w:val="0"/>
          <w:bCs w:val="0"/>
          <w:color w:val="212529"/>
          <w:sz w:val="24"/>
          <w:szCs w:val="24"/>
          <w:shd w:val="clear" w:color="auto" w:fill="FFFFFF"/>
        </w:rPr>
        <w:t>elektroenerģijas sistēmas pakalpojuma maksa, kā arī visiem juridiskajiem lietotājiem, t.sk. uzņēmējiem, valsts un pašvaldību iestādēm, izglītības iestādēm slimnīcām, utt. –</w:t>
      </w:r>
      <w:r w:rsidRPr="005E23D7">
        <w:rPr>
          <w:rFonts w:ascii="Times New Roman" w:hAnsi="Times New Roman" w:cs="Times New Roman"/>
          <w:color w:val="212529"/>
          <w:sz w:val="24"/>
          <w:szCs w:val="24"/>
          <w:shd w:val="clear" w:color="auto" w:fill="FFFFFF"/>
        </w:rPr>
        <w:t xml:space="preserve"> </w:t>
      </w:r>
      <w:r w:rsidRPr="005E23D7">
        <w:rPr>
          <w:rStyle w:val="Strong"/>
          <w:rFonts w:ascii="Times New Roman" w:hAnsi="Times New Roman" w:cs="Times New Roman"/>
          <w:b w:val="0"/>
          <w:bCs w:val="0"/>
          <w:color w:val="212529"/>
          <w:sz w:val="24"/>
          <w:szCs w:val="24"/>
          <w:shd w:val="clear" w:color="auto" w:fill="FFFFFF"/>
        </w:rPr>
        <w:t>valsts kompensē elektroenerģijas izmaksu pieaugumu 50% apmērā virs elektroenerģijas cenas 160 eiro/</w:t>
      </w:r>
      <w:proofErr w:type="spellStart"/>
      <w:r w:rsidRPr="005E23D7">
        <w:rPr>
          <w:rStyle w:val="Strong"/>
          <w:rFonts w:ascii="Times New Roman" w:hAnsi="Times New Roman" w:cs="Times New Roman"/>
          <w:b w:val="0"/>
          <w:bCs w:val="0"/>
          <w:color w:val="212529"/>
          <w:sz w:val="24"/>
          <w:szCs w:val="24"/>
          <w:shd w:val="clear" w:color="auto" w:fill="FFFFFF"/>
        </w:rPr>
        <w:t>MWh</w:t>
      </w:r>
      <w:proofErr w:type="spellEnd"/>
      <w:r w:rsidRPr="005E23D7">
        <w:rPr>
          <w:rStyle w:val="Strong"/>
          <w:rFonts w:ascii="Times New Roman" w:hAnsi="Times New Roman" w:cs="Times New Roman"/>
          <w:b w:val="0"/>
          <w:bCs w:val="0"/>
          <w:color w:val="212529"/>
          <w:sz w:val="24"/>
          <w:szCs w:val="24"/>
          <w:shd w:val="clear" w:color="auto" w:fill="FFFFFF"/>
        </w:rPr>
        <w:t>. </w:t>
      </w:r>
    </w:p>
    <w:p w14:paraId="2D5B2759" w14:textId="77777777" w:rsidR="004C4624" w:rsidRDefault="004C4624" w:rsidP="004C4624">
      <w:pPr>
        <w:pStyle w:val="NormalWeb"/>
        <w:shd w:val="clear" w:color="auto" w:fill="FFFFFF"/>
        <w:spacing w:before="0" w:beforeAutospacing="0" w:after="0" w:afterAutospacing="0"/>
        <w:jc w:val="both"/>
        <w:rPr>
          <w:color w:val="242424"/>
        </w:rPr>
      </w:pPr>
    </w:p>
    <w:p w14:paraId="1D014020" w14:textId="77777777" w:rsidR="004C4624" w:rsidRPr="005E23D7" w:rsidRDefault="004C4624" w:rsidP="004C4624">
      <w:pPr>
        <w:pStyle w:val="NormalWeb"/>
        <w:shd w:val="clear" w:color="auto" w:fill="FFFFFF"/>
        <w:spacing w:before="0" w:beforeAutospacing="0" w:after="0" w:afterAutospacing="0"/>
        <w:jc w:val="both"/>
        <w:rPr>
          <w:color w:val="242424"/>
        </w:rPr>
      </w:pPr>
      <w:r w:rsidRPr="005E23D7">
        <w:rPr>
          <w:color w:val="242424"/>
        </w:rPr>
        <w:t xml:space="preserve">Plašāk ar atbalsta pasākumiem var iepazīties </w:t>
      </w:r>
      <w:hyperlink r:id="rId8" w:history="1">
        <w:r w:rsidRPr="005E23D7">
          <w:rPr>
            <w:rStyle w:val="Hyperlink"/>
          </w:rPr>
          <w:t>šeit</w:t>
        </w:r>
      </w:hyperlink>
      <w:r w:rsidRPr="005E23D7">
        <w:rPr>
          <w:color w:val="242424"/>
        </w:rPr>
        <w:t xml:space="preserve">. </w:t>
      </w:r>
    </w:p>
    <w:p w14:paraId="67EF01B3" w14:textId="678ECA38" w:rsidR="00944242" w:rsidRPr="005E23D7" w:rsidRDefault="00944242" w:rsidP="005E23D7">
      <w:pPr>
        <w:spacing w:after="0" w:line="240" w:lineRule="auto"/>
        <w:jc w:val="both"/>
        <w:rPr>
          <w:rFonts w:ascii="Times New Roman" w:hAnsi="Times New Roman" w:cs="Times New Roman"/>
          <w:sz w:val="24"/>
          <w:szCs w:val="24"/>
        </w:rPr>
      </w:pPr>
    </w:p>
    <w:p w14:paraId="668E75C4" w14:textId="787FBFD7" w:rsidR="0027768B" w:rsidRPr="005E23D7" w:rsidRDefault="0027768B" w:rsidP="005E23D7">
      <w:pPr>
        <w:spacing w:after="0" w:line="240" w:lineRule="auto"/>
        <w:jc w:val="both"/>
        <w:rPr>
          <w:rFonts w:ascii="Times New Roman" w:hAnsi="Times New Roman" w:cs="Times New Roman"/>
          <w:b/>
          <w:bCs/>
          <w:sz w:val="24"/>
          <w:szCs w:val="24"/>
        </w:rPr>
      </w:pPr>
      <w:r w:rsidRPr="005E23D7">
        <w:rPr>
          <w:rFonts w:ascii="Times New Roman" w:hAnsi="Times New Roman" w:cs="Times New Roman"/>
          <w:b/>
          <w:bCs/>
          <w:sz w:val="24"/>
          <w:szCs w:val="24"/>
        </w:rPr>
        <w:t>Atbalsts uzņēmēj</w:t>
      </w:r>
      <w:r w:rsidR="004C4624">
        <w:rPr>
          <w:rFonts w:ascii="Times New Roman" w:hAnsi="Times New Roman" w:cs="Times New Roman"/>
          <w:b/>
          <w:bCs/>
          <w:sz w:val="24"/>
          <w:szCs w:val="24"/>
        </w:rPr>
        <w:t>iem</w:t>
      </w:r>
      <w:r w:rsidRPr="005E23D7">
        <w:rPr>
          <w:rFonts w:ascii="Times New Roman" w:hAnsi="Times New Roman" w:cs="Times New Roman"/>
          <w:b/>
          <w:bCs/>
          <w:sz w:val="24"/>
          <w:szCs w:val="24"/>
        </w:rPr>
        <w:t xml:space="preserve"> un Latvijas tautsaimniecības izaugsmei </w:t>
      </w:r>
    </w:p>
    <w:p w14:paraId="7F8311AA" w14:textId="77777777" w:rsidR="005E23D7" w:rsidRDefault="005E23D7" w:rsidP="005E23D7">
      <w:pPr>
        <w:spacing w:after="0" w:line="240" w:lineRule="auto"/>
        <w:jc w:val="both"/>
        <w:rPr>
          <w:rFonts w:ascii="Times New Roman" w:hAnsi="Times New Roman" w:cs="Times New Roman"/>
          <w:sz w:val="24"/>
          <w:szCs w:val="24"/>
        </w:rPr>
      </w:pPr>
    </w:p>
    <w:p w14:paraId="57210BD0" w14:textId="34D2368A" w:rsidR="000E51A8" w:rsidRPr="005E23D7" w:rsidRDefault="00A5664B" w:rsidP="005E23D7">
      <w:pPr>
        <w:spacing w:after="0" w:line="240" w:lineRule="auto"/>
        <w:jc w:val="both"/>
        <w:rPr>
          <w:rFonts w:ascii="Times New Roman" w:hAnsi="Times New Roman" w:cs="Times New Roman"/>
          <w:sz w:val="24"/>
          <w:szCs w:val="24"/>
        </w:rPr>
      </w:pPr>
      <w:r w:rsidRPr="005E23D7">
        <w:rPr>
          <w:rFonts w:ascii="Times New Roman" w:hAnsi="Times New Roman" w:cs="Times New Roman"/>
          <w:sz w:val="24"/>
          <w:szCs w:val="24"/>
        </w:rPr>
        <w:t xml:space="preserve">Lai palīdzētu Latvijas uzņēmējiem </w:t>
      </w:r>
      <w:r w:rsidR="00A64255" w:rsidRPr="005E23D7">
        <w:rPr>
          <w:rFonts w:ascii="Times New Roman" w:hAnsi="Times New Roman" w:cs="Times New Roman"/>
          <w:sz w:val="24"/>
          <w:szCs w:val="24"/>
        </w:rPr>
        <w:t xml:space="preserve">ātrāk </w:t>
      </w:r>
      <w:r w:rsidRPr="005E23D7">
        <w:rPr>
          <w:rFonts w:ascii="Times New Roman" w:hAnsi="Times New Roman" w:cs="Times New Roman"/>
          <w:sz w:val="24"/>
          <w:szCs w:val="24"/>
        </w:rPr>
        <w:t xml:space="preserve">pārvarēt Covid-19 pandēmijas izraisītās krīzes sekas, kā arī </w:t>
      </w:r>
      <w:r w:rsidR="00A64255" w:rsidRPr="005E23D7">
        <w:rPr>
          <w:rFonts w:ascii="Times New Roman" w:hAnsi="Times New Roman" w:cs="Times New Roman"/>
          <w:sz w:val="24"/>
          <w:szCs w:val="24"/>
        </w:rPr>
        <w:t>mazinātu</w:t>
      </w:r>
      <w:r w:rsidRPr="005E23D7">
        <w:rPr>
          <w:rFonts w:ascii="Times New Roman" w:hAnsi="Times New Roman" w:cs="Times New Roman"/>
          <w:sz w:val="24"/>
          <w:szCs w:val="24"/>
        </w:rPr>
        <w:t xml:space="preserve"> Krievijas izraisītā kara Ukrainā negatīvo ietekmi ekonomikā, šogad piešķirts </w:t>
      </w:r>
      <w:r w:rsidR="00FF4936" w:rsidRPr="005E23D7">
        <w:rPr>
          <w:rFonts w:ascii="Times New Roman" w:hAnsi="Times New Roman" w:cs="Times New Roman"/>
          <w:sz w:val="24"/>
          <w:szCs w:val="24"/>
        </w:rPr>
        <w:t xml:space="preserve">gan papildu finansējums uzņēmēju atbalstam, gan arī uzsākts īstenot vairākas Atveseļošanas fonda atbalsta programmas. </w:t>
      </w:r>
    </w:p>
    <w:p w14:paraId="7F201B5C" w14:textId="77777777" w:rsidR="00A64255" w:rsidRPr="005E23D7" w:rsidRDefault="00A64255" w:rsidP="005E23D7">
      <w:pPr>
        <w:spacing w:after="0" w:line="240" w:lineRule="auto"/>
        <w:jc w:val="both"/>
        <w:rPr>
          <w:rFonts w:ascii="Times New Roman" w:hAnsi="Times New Roman" w:cs="Times New Roman"/>
          <w:sz w:val="24"/>
          <w:szCs w:val="24"/>
        </w:rPr>
      </w:pPr>
    </w:p>
    <w:p w14:paraId="08D6F357" w14:textId="72D0DD95" w:rsidR="007A6347" w:rsidRPr="005E23D7" w:rsidRDefault="007A6347" w:rsidP="005E23D7">
      <w:pPr>
        <w:spacing w:after="0" w:line="240" w:lineRule="auto"/>
        <w:jc w:val="both"/>
        <w:rPr>
          <w:rFonts w:ascii="Times New Roman" w:hAnsi="Times New Roman" w:cs="Times New Roman"/>
          <w:sz w:val="24"/>
          <w:szCs w:val="24"/>
        </w:rPr>
      </w:pPr>
      <w:r w:rsidRPr="005E23D7">
        <w:rPr>
          <w:rFonts w:ascii="Times New Roman" w:hAnsi="Times New Roman" w:cs="Times New Roman"/>
          <w:sz w:val="24"/>
          <w:szCs w:val="24"/>
        </w:rPr>
        <w:t xml:space="preserve">Lai veicinātu zinātnisko pētniecību un sekmētu tehnoloģiju pārnesi, inovatīvu un komercializējumu produktu un tehnoloģiju attīstību, 2022. gada aprīlī apstiprināta valsts pētījumu programma </w:t>
      </w:r>
      <w:r w:rsidRPr="005E23D7">
        <w:rPr>
          <w:rFonts w:ascii="Times New Roman" w:hAnsi="Times New Roman" w:cs="Times New Roman"/>
          <w:sz w:val="24"/>
          <w:szCs w:val="24"/>
          <w:u w:val="single"/>
        </w:rPr>
        <w:t>"Inovāciju fonds – nozaru pētījumu programma".</w:t>
      </w:r>
      <w:r w:rsidRPr="005E23D7">
        <w:rPr>
          <w:rFonts w:ascii="Times New Roman" w:hAnsi="Times New Roman" w:cs="Times New Roman"/>
          <w:sz w:val="24"/>
          <w:szCs w:val="24"/>
        </w:rPr>
        <w:t xml:space="preserve"> Tās ietvaros laikā no 2022. līdz 2024. gadam paredzēts novirzīt līdz 12 milj.</w:t>
      </w:r>
      <w:r w:rsidRPr="005E23D7">
        <w:rPr>
          <w:rFonts w:ascii="Times New Roman" w:hAnsi="Times New Roman" w:cs="Times New Roman"/>
          <w:i/>
          <w:iCs/>
          <w:sz w:val="24"/>
          <w:szCs w:val="24"/>
        </w:rPr>
        <w:t xml:space="preserve"> </w:t>
      </w:r>
      <w:r w:rsidR="00A64255" w:rsidRPr="005E23D7">
        <w:rPr>
          <w:rFonts w:ascii="Times New Roman" w:hAnsi="Times New Roman" w:cs="Times New Roman"/>
          <w:sz w:val="24"/>
          <w:szCs w:val="24"/>
        </w:rPr>
        <w:t>EUR</w:t>
      </w:r>
      <w:r w:rsidRPr="005E23D7">
        <w:rPr>
          <w:rFonts w:ascii="Times New Roman" w:hAnsi="Times New Roman" w:cs="Times New Roman"/>
          <w:sz w:val="24"/>
          <w:szCs w:val="24"/>
        </w:rPr>
        <w:t xml:space="preserve"> pētījumu īstenošanai, kas atbilst industrijas pieprasījumam, sniedz ieguldījumu sabiedrībai būtisku izaicinājumu risināšanā, kā arī atbilst konkrētam, definētam ilgtermiņa tehnoloģiju attīstības uzdevumam Viedās specializācijas stratēģijas RIS3 jomās: “</w:t>
      </w:r>
      <w:proofErr w:type="spellStart"/>
      <w:r w:rsidRPr="005E23D7">
        <w:rPr>
          <w:rFonts w:ascii="Times New Roman" w:hAnsi="Times New Roman" w:cs="Times New Roman"/>
          <w:sz w:val="24"/>
          <w:szCs w:val="24"/>
        </w:rPr>
        <w:t>Biomedicīna</w:t>
      </w:r>
      <w:proofErr w:type="spellEnd"/>
      <w:r w:rsidRPr="005E23D7">
        <w:rPr>
          <w:rFonts w:ascii="Times New Roman" w:hAnsi="Times New Roman" w:cs="Times New Roman"/>
          <w:sz w:val="24"/>
          <w:szCs w:val="24"/>
        </w:rPr>
        <w:t>, medicīnas tehnoloģijas, farmācija” un “</w:t>
      </w:r>
      <w:proofErr w:type="spellStart"/>
      <w:r w:rsidRPr="005E23D7">
        <w:rPr>
          <w:rFonts w:ascii="Times New Roman" w:hAnsi="Times New Roman" w:cs="Times New Roman"/>
          <w:sz w:val="24"/>
          <w:szCs w:val="24"/>
        </w:rPr>
        <w:t>Fotonika</w:t>
      </w:r>
      <w:proofErr w:type="spellEnd"/>
      <w:r w:rsidRPr="005E23D7">
        <w:rPr>
          <w:rFonts w:ascii="Times New Roman" w:hAnsi="Times New Roman" w:cs="Times New Roman"/>
          <w:sz w:val="24"/>
          <w:szCs w:val="24"/>
        </w:rPr>
        <w:t xml:space="preserve"> un viedie materiāli, tehnoloģijas un </w:t>
      </w:r>
      <w:proofErr w:type="spellStart"/>
      <w:r w:rsidRPr="005E23D7">
        <w:rPr>
          <w:rFonts w:ascii="Times New Roman" w:hAnsi="Times New Roman" w:cs="Times New Roman"/>
          <w:sz w:val="24"/>
          <w:szCs w:val="24"/>
        </w:rPr>
        <w:t>inženiersistēmas</w:t>
      </w:r>
      <w:proofErr w:type="spellEnd"/>
      <w:r w:rsidRPr="005E23D7">
        <w:rPr>
          <w:rFonts w:ascii="Times New Roman" w:hAnsi="Times New Roman" w:cs="Times New Roman"/>
          <w:sz w:val="24"/>
          <w:szCs w:val="24"/>
        </w:rPr>
        <w:t>”.</w:t>
      </w:r>
    </w:p>
    <w:p w14:paraId="39420235" w14:textId="77777777" w:rsidR="007A6347" w:rsidRPr="005E23D7" w:rsidRDefault="007A6347" w:rsidP="005E23D7">
      <w:pPr>
        <w:spacing w:after="0" w:line="240" w:lineRule="auto"/>
        <w:jc w:val="both"/>
        <w:rPr>
          <w:rFonts w:ascii="Times New Roman" w:hAnsi="Times New Roman" w:cs="Times New Roman"/>
          <w:sz w:val="24"/>
          <w:szCs w:val="24"/>
        </w:rPr>
      </w:pPr>
      <w:r w:rsidRPr="005E23D7">
        <w:rPr>
          <w:rFonts w:ascii="Times New Roman" w:hAnsi="Times New Roman" w:cs="Times New Roman"/>
          <w:sz w:val="24"/>
          <w:szCs w:val="24"/>
        </w:rPr>
        <w:t xml:space="preserve"> </w:t>
      </w:r>
    </w:p>
    <w:p w14:paraId="345B8E89" w14:textId="77777777" w:rsidR="00B01ECB" w:rsidRPr="005E23D7" w:rsidRDefault="00B01ECB" w:rsidP="005E23D7">
      <w:pPr>
        <w:spacing w:after="0" w:line="240" w:lineRule="auto"/>
        <w:jc w:val="both"/>
        <w:rPr>
          <w:rFonts w:ascii="Times New Roman" w:hAnsi="Times New Roman" w:cs="Times New Roman"/>
          <w:sz w:val="24"/>
          <w:szCs w:val="24"/>
        </w:rPr>
      </w:pPr>
      <w:r w:rsidRPr="005E23D7">
        <w:rPr>
          <w:rFonts w:ascii="Times New Roman" w:hAnsi="Times New Roman" w:cs="Times New Roman"/>
          <w:sz w:val="24"/>
          <w:szCs w:val="24"/>
        </w:rPr>
        <w:t xml:space="preserve">Apstiprināts jauns </w:t>
      </w:r>
      <w:r w:rsidRPr="005E23D7">
        <w:rPr>
          <w:rFonts w:ascii="Times New Roman" w:hAnsi="Times New Roman" w:cs="Times New Roman"/>
          <w:sz w:val="24"/>
          <w:szCs w:val="24"/>
          <w:u w:val="single"/>
        </w:rPr>
        <w:t>inovāciju pārvaldības modelis</w:t>
      </w:r>
      <w:r w:rsidRPr="005E23D7">
        <w:rPr>
          <w:rFonts w:ascii="Times New Roman" w:hAnsi="Times New Roman" w:cs="Times New Roman"/>
          <w:sz w:val="24"/>
          <w:szCs w:val="24"/>
        </w:rPr>
        <w:t xml:space="preserve"> publiskā sektora, uzņēmumu un zinātnes sektora labākai un strukturētai sadarbībai un pārvaldībai, ar nolūku sekmēt plašāku inovāciju izstrādi un ieviešanu. Līdz ar ko 2022. gada 28. jūlijā izveidota </w:t>
      </w:r>
      <w:r w:rsidRPr="005E23D7">
        <w:rPr>
          <w:rFonts w:ascii="Times New Roman" w:hAnsi="Times New Roman" w:cs="Times New Roman"/>
          <w:sz w:val="24"/>
          <w:szCs w:val="24"/>
          <w:u w:val="single"/>
        </w:rPr>
        <w:t>Inovāciju un pētniecības pārvaldības padome,</w:t>
      </w:r>
      <w:r w:rsidRPr="005E23D7">
        <w:rPr>
          <w:rFonts w:ascii="Times New Roman" w:hAnsi="Times New Roman" w:cs="Times New Roman"/>
          <w:sz w:val="24"/>
          <w:szCs w:val="24"/>
        </w:rPr>
        <w:t xml:space="preserve"> kurā darbosies ministri no Ekonomikas ministrijas un Izglītības un zinātnes ministrijas, kā arī Latvijas Investīciju un attīstības aģentūras un Latvijas Zinātnes padomes direktori.</w:t>
      </w:r>
    </w:p>
    <w:p w14:paraId="3777EB19" w14:textId="77777777" w:rsidR="00152EDA" w:rsidRPr="005E23D7" w:rsidRDefault="00152EDA" w:rsidP="005E23D7">
      <w:pPr>
        <w:spacing w:after="0" w:line="240" w:lineRule="auto"/>
        <w:jc w:val="both"/>
        <w:rPr>
          <w:rFonts w:ascii="Times New Roman" w:hAnsi="Times New Roman" w:cs="Times New Roman"/>
          <w:sz w:val="24"/>
          <w:szCs w:val="24"/>
          <w:highlight w:val="yellow"/>
        </w:rPr>
      </w:pPr>
    </w:p>
    <w:p w14:paraId="0E82E2F2" w14:textId="09ED5F26" w:rsidR="00152EDA" w:rsidRPr="005E23D7" w:rsidRDefault="00152EDA" w:rsidP="005E23D7">
      <w:pPr>
        <w:spacing w:after="0" w:line="240" w:lineRule="auto"/>
        <w:jc w:val="both"/>
        <w:rPr>
          <w:rFonts w:ascii="Times New Roman" w:hAnsi="Times New Roman" w:cs="Times New Roman"/>
          <w:sz w:val="24"/>
          <w:szCs w:val="24"/>
          <w:lang w:eastAsia="lv-LV"/>
        </w:rPr>
      </w:pPr>
      <w:r w:rsidRPr="005E23D7">
        <w:rPr>
          <w:rFonts w:ascii="Times New Roman" w:hAnsi="Times New Roman" w:cs="Times New Roman"/>
          <w:color w:val="000000"/>
          <w:sz w:val="24"/>
          <w:szCs w:val="24"/>
          <w:lang w:eastAsia="lv-LV"/>
        </w:rPr>
        <w:t xml:space="preserve">Lai uzsāktu re-industrializācijas procesu un nodrošinātu finanšu pieejamību lieliem investīciju projektiem ekonomikas atveseļošanai pēc Covid-19 izraisītās krīzes, </w:t>
      </w:r>
      <w:r w:rsidR="001E71EC" w:rsidRPr="005E23D7">
        <w:rPr>
          <w:rFonts w:ascii="Times New Roman" w:hAnsi="Times New Roman" w:cs="Times New Roman"/>
          <w:color w:val="000000"/>
          <w:sz w:val="24"/>
          <w:szCs w:val="24"/>
          <w:lang w:eastAsia="lv-LV"/>
        </w:rPr>
        <w:t xml:space="preserve">izveidots </w:t>
      </w:r>
      <w:r w:rsidRPr="005E23D7">
        <w:rPr>
          <w:rFonts w:ascii="Times New Roman" w:hAnsi="Times New Roman" w:cs="Times New Roman"/>
          <w:color w:val="000000"/>
          <w:sz w:val="24"/>
          <w:szCs w:val="24"/>
          <w:u w:val="single"/>
          <w:lang w:eastAsia="lv-LV"/>
        </w:rPr>
        <w:t>Investīciju fonds</w:t>
      </w:r>
      <w:r w:rsidRPr="005E23D7">
        <w:rPr>
          <w:rFonts w:ascii="Times New Roman" w:hAnsi="Times New Roman" w:cs="Times New Roman"/>
          <w:color w:val="000000"/>
          <w:sz w:val="24"/>
          <w:szCs w:val="24"/>
          <w:lang w:eastAsia="lv-LV"/>
        </w:rPr>
        <w:t xml:space="preserve">, piešķirot 152,5 milj. </w:t>
      </w:r>
      <w:r w:rsidR="0041288D" w:rsidRPr="005E23D7">
        <w:rPr>
          <w:rFonts w:ascii="Times New Roman" w:hAnsi="Times New Roman" w:cs="Times New Roman"/>
          <w:color w:val="000000"/>
          <w:sz w:val="24"/>
          <w:szCs w:val="24"/>
          <w:lang w:eastAsia="lv-LV"/>
        </w:rPr>
        <w:t>EUR</w:t>
      </w:r>
      <w:r w:rsidRPr="005E23D7">
        <w:rPr>
          <w:rFonts w:ascii="Times New Roman" w:hAnsi="Times New Roman" w:cs="Times New Roman"/>
          <w:color w:val="000000"/>
          <w:sz w:val="24"/>
          <w:szCs w:val="24"/>
          <w:lang w:eastAsia="lv-LV"/>
        </w:rPr>
        <w:t xml:space="preserve"> </w:t>
      </w:r>
      <w:r w:rsidR="0041288D" w:rsidRPr="005E23D7">
        <w:rPr>
          <w:rFonts w:ascii="Times New Roman" w:hAnsi="Times New Roman" w:cs="Times New Roman"/>
          <w:color w:val="000000"/>
          <w:sz w:val="24"/>
          <w:szCs w:val="24"/>
          <w:lang w:eastAsia="lv-LV"/>
        </w:rPr>
        <w:t xml:space="preserve">no </w:t>
      </w:r>
      <w:r w:rsidRPr="005E23D7">
        <w:rPr>
          <w:rFonts w:ascii="Times New Roman" w:hAnsi="Times New Roman" w:cs="Times New Roman"/>
          <w:color w:val="000000"/>
          <w:sz w:val="24"/>
          <w:szCs w:val="24"/>
          <w:lang w:eastAsia="lv-LV"/>
        </w:rPr>
        <w:t>valsts budžet</w:t>
      </w:r>
      <w:r w:rsidR="0041288D" w:rsidRPr="005E23D7">
        <w:rPr>
          <w:rFonts w:ascii="Times New Roman" w:hAnsi="Times New Roman" w:cs="Times New Roman"/>
          <w:color w:val="000000"/>
          <w:sz w:val="24"/>
          <w:szCs w:val="24"/>
          <w:lang w:eastAsia="lv-LV"/>
        </w:rPr>
        <w:t>a</w:t>
      </w:r>
      <w:r w:rsidRPr="005E23D7">
        <w:rPr>
          <w:rFonts w:ascii="Times New Roman" w:hAnsi="Times New Roman" w:cs="Times New Roman"/>
          <w:color w:val="000000"/>
          <w:sz w:val="24"/>
          <w:szCs w:val="24"/>
          <w:lang w:eastAsia="lv-LV"/>
        </w:rPr>
        <w:t>. Programma</w:t>
      </w:r>
      <w:r w:rsidR="0046257B" w:rsidRPr="005E23D7">
        <w:rPr>
          <w:rFonts w:ascii="Times New Roman" w:hAnsi="Times New Roman" w:cs="Times New Roman"/>
          <w:color w:val="000000"/>
          <w:sz w:val="24"/>
          <w:szCs w:val="24"/>
          <w:lang w:eastAsia="lv-LV"/>
        </w:rPr>
        <w:t>s</w:t>
      </w:r>
      <w:r w:rsidRPr="005E23D7">
        <w:rPr>
          <w:rFonts w:ascii="Times New Roman" w:hAnsi="Times New Roman" w:cs="Times New Roman"/>
          <w:color w:val="000000"/>
          <w:sz w:val="24"/>
          <w:szCs w:val="24"/>
          <w:lang w:eastAsia="lv-LV"/>
        </w:rPr>
        <w:t xml:space="preserve"> pirmās kārtas ietvaros </w:t>
      </w:r>
      <w:r w:rsidR="0046257B" w:rsidRPr="005E23D7">
        <w:rPr>
          <w:rFonts w:ascii="Times New Roman" w:hAnsi="Times New Roman" w:cs="Times New Roman"/>
          <w:color w:val="000000"/>
          <w:sz w:val="24"/>
          <w:szCs w:val="24"/>
          <w:lang w:eastAsia="lv-LV"/>
        </w:rPr>
        <w:t>LIAA</w:t>
      </w:r>
      <w:r w:rsidRPr="005E23D7">
        <w:rPr>
          <w:rFonts w:ascii="Times New Roman" w:hAnsi="Times New Roman" w:cs="Times New Roman"/>
          <w:color w:val="000000"/>
          <w:sz w:val="24"/>
          <w:szCs w:val="24"/>
          <w:lang w:eastAsia="lv-LV"/>
        </w:rPr>
        <w:t xml:space="preserve"> apstiprinājusi 17 projektu</w:t>
      </w:r>
      <w:r w:rsidR="0046257B" w:rsidRPr="005E23D7">
        <w:rPr>
          <w:rFonts w:ascii="Times New Roman" w:hAnsi="Times New Roman" w:cs="Times New Roman"/>
          <w:color w:val="000000"/>
          <w:sz w:val="24"/>
          <w:szCs w:val="24"/>
          <w:lang w:eastAsia="lv-LV"/>
        </w:rPr>
        <w:t>s</w:t>
      </w:r>
      <w:r w:rsidRPr="005E23D7">
        <w:rPr>
          <w:rFonts w:ascii="Times New Roman" w:hAnsi="Times New Roman" w:cs="Times New Roman"/>
          <w:color w:val="000000"/>
          <w:sz w:val="24"/>
          <w:szCs w:val="24"/>
          <w:lang w:eastAsia="lv-LV"/>
        </w:rPr>
        <w:t xml:space="preserve"> ar kopējo plānoto investīciju apjomu 398 milj. </w:t>
      </w:r>
      <w:r w:rsidR="0041288D" w:rsidRPr="005E23D7">
        <w:rPr>
          <w:rFonts w:ascii="Times New Roman" w:hAnsi="Times New Roman" w:cs="Times New Roman"/>
          <w:color w:val="000000"/>
          <w:sz w:val="24"/>
          <w:szCs w:val="24"/>
          <w:lang w:eastAsia="lv-LV"/>
        </w:rPr>
        <w:t>EUR</w:t>
      </w:r>
      <w:r w:rsidR="0046257B" w:rsidRPr="005E23D7">
        <w:rPr>
          <w:rFonts w:ascii="Times New Roman" w:hAnsi="Times New Roman" w:cs="Times New Roman"/>
          <w:color w:val="000000"/>
          <w:sz w:val="24"/>
          <w:szCs w:val="24"/>
          <w:lang w:eastAsia="lv-LV"/>
        </w:rPr>
        <w:t>, paredzot</w:t>
      </w:r>
      <w:r w:rsidRPr="005E23D7">
        <w:rPr>
          <w:rFonts w:ascii="Times New Roman" w:hAnsi="Times New Roman" w:cs="Times New Roman"/>
          <w:color w:val="000000"/>
          <w:sz w:val="24"/>
          <w:szCs w:val="24"/>
          <w:lang w:eastAsia="lv-LV"/>
        </w:rPr>
        <w:t xml:space="preserve"> izveidot 895 jaunas darba vietas ar darba algu 1,5 reizes lielāku kā vidēji reģionā, kā arī veikt investīcijas uzņēmumos pētniecībā un attīstībā vairāk kā 14,568 milj. e</w:t>
      </w:r>
      <w:r w:rsidR="0046257B" w:rsidRPr="005E23D7">
        <w:rPr>
          <w:rFonts w:ascii="Times New Roman" w:hAnsi="Times New Roman" w:cs="Times New Roman"/>
          <w:color w:val="000000"/>
          <w:sz w:val="24"/>
          <w:szCs w:val="24"/>
          <w:lang w:eastAsia="lv-LV"/>
        </w:rPr>
        <w:t>i</w:t>
      </w:r>
      <w:r w:rsidRPr="005E23D7">
        <w:rPr>
          <w:rFonts w:ascii="Times New Roman" w:hAnsi="Times New Roman" w:cs="Times New Roman"/>
          <w:color w:val="000000"/>
          <w:sz w:val="24"/>
          <w:szCs w:val="24"/>
          <w:lang w:eastAsia="lv-LV"/>
        </w:rPr>
        <w:t xml:space="preserve">ro apmērā un nodrošināt eksporta apjomu vairāk kā 317,155 milj. </w:t>
      </w:r>
      <w:r w:rsidR="0041288D" w:rsidRPr="005E23D7">
        <w:rPr>
          <w:rFonts w:ascii="Times New Roman" w:hAnsi="Times New Roman" w:cs="Times New Roman"/>
          <w:color w:val="000000"/>
          <w:sz w:val="24"/>
          <w:szCs w:val="24"/>
          <w:lang w:eastAsia="lv-LV"/>
        </w:rPr>
        <w:t>EUR</w:t>
      </w:r>
      <w:r w:rsidRPr="005E23D7">
        <w:rPr>
          <w:rFonts w:ascii="Times New Roman" w:hAnsi="Times New Roman" w:cs="Times New Roman"/>
          <w:color w:val="000000"/>
          <w:sz w:val="24"/>
          <w:szCs w:val="24"/>
          <w:lang w:eastAsia="lv-LV"/>
        </w:rPr>
        <w:t xml:space="preserve"> </w:t>
      </w:r>
      <w:r w:rsidRPr="005E23D7">
        <w:rPr>
          <w:rFonts w:ascii="Times New Roman" w:hAnsi="Times New Roman" w:cs="Times New Roman"/>
          <w:sz w:val="24"/>
          <w:szCs w:val="24"/>
          <w:lang w:eastAsia="lv-LV"/>
        </w:rPr>
        <w:t>gadā.</w:t>
      </w:r>
    </w:p>
    <w:p w14:paraId="7267D805" w14:textId="77777777" w:rsidR="0041288D" w:rsidRPr="005E23D7" w:rsidRDefault="0041288D" w:rsidP="005E23D7">
      <w:pPr>
        <w:spacing w:after="0" w:line="240" w:lineRule="auto"/>
        <w:jc w:val="both"/>
        <w:rPr>
          <w:rFonts w:ascii="Times New Roman" w:hAnsi="Times New Roman" w:cs="Times New Roman"/>
          <w:sz w:val="24"/>
          <w:szCs w:val="24"/>
          <w:lang w:eastAsia="lv-LV"/>
        </w:rPr>
      </w:pPr>
    </w:p>
    <w:p w14:paraId="04D73611" w14:textId="04252D22" w:rsidR="00EE6D9F" w:rsidRPr="005E23D7" w:rsidRDefault="00EE6D9F" w:rsidP="005E23D7">
      <w:pPr>
        <w:spacing w:after="0" w:line="240" w:lineRule="auto"/>
        <w:jc w:val="both"/>
        <w:rPr>
          <w:rFonts w:ascii="Times New Roman" w:hAnsi="Times New Roman" w:cs="Times New Roman"/>
          <w:sz w:val="24"/>
          <w:szCs w:val="24"/>
        </w:rPr>
      </w:pPr>
      <w:r w:rsidRPr="005E23D7">
        <w:rPr>
          <w:rFonts w:ascii="Times New Roman" w:hAnsi="Times New Roman" w:cs="Times New Roman"/>
          <w:sz w:val="24"/>
          <w:szCs w:val="24"/>
          <w:lang w:eastAsia="lv-LV"/>
        </w:rPr>
        <w:t xml:space="preserve">Vienlaikus, ar LIAA atbalstu 2022. gadā uzsākti vai jau </w:t>
      </w:r>
      <w:r w:rsidRPr="005E23D7">
        <w:rPr>
          <w:rFonts w:ascii="Times New Roman" w:hAnsi="Times New Roman" w:cs="Times New Roman"/>
          <w:sz w:val="24"/>
          <w:szCs w:val="24"/>
          <w:u w:val="single"/>
          <w:lang w:eastAsia="lv-LV"/>
        </w:rPr>
        <w:t>realizējušies 32 investīciju projekti,</w:t>
      </w:r>
      <w:r w:rsidRPr="005E23D7">
        <w:rPr>
          <w:rFonts w:ascii="Times New Roman" w:hAnsi="Times New Roman" w:cs="Times New Roman"/>
          <w:sz w:val="24"/>
          <w:szCs w:val="24"/>
          <w:lang w:eastAsia="lv-LV"/>
        </w:rPr>
        <w:t xml:space="preserve"> kuru kopējais investīciju apjoms ir 343 miljoni un šajos uzņēmumos tiks radītas 1946 darba vietas </w:t>
      </w:r>
      <w:r w:rsidRPr="005E23D7">
        <w:rPr>
          <w:rFonts w:ascii="Times New Roman" w:hAnsi="Times New Roman" w:cs="Times New Roman"/>
          <w:sz w:val="24"/>
          <w:szCs w:val="24"/>
        </w:rPr>
        <w:t xml:space="preserve">tādās nozarēs, kā </w:t>
      </w:r>
      <w:proofErr w:type="spellStart"/>
      <w:r w:rsidRPr="005E23D7">
        <w:rPr>
          <w:rFonts w:ascii="Times New Roman" w:hAnsi="Times New Roman" w:cs="Times New Roman"/>
          <w:sz w:val="24"/>
          <w:szCs w:val="24"/>
        </w:rPr>
        <w:t>bioekonomika</w:t>
      </w:r>
      <w:proofErr w:type="spellEnd"/>
      <w:r w:rsidRPr="005E23D7">
        <w:rPr>
          <w:rFonts w:ascii="Times New Roman" w:hAnsi="Times New Roman" w:cs="Times New Roman"/>
          <w:sz w:val="24"/>
          <w:szCs w:val="24"/>
        </w:rPr>
        <w:t xml:space="preserve">, viedā enerģētika, viedie materiāli, IKT, </w:t>
      </w:r>
      <w:proofErr w:type="spellStart"/>
      <w:r w:rsidRPr="005E23D7">
        <w:rPr>
          <w:rFonts w:ascii="Times New Roman" w:hAnsi="Times New Roman" w:cs="Times New Roman"/>
          <w:sz w:val="24"/>
          <w:szCs w:val="24"/>
        </w:rPr>
        <w:t>biomedicīna</w:t>
      </w:r>
      <w:proofErr w:type="spellEnd"/>
      <w:r w:rsidRPr="005E23D7">
        <w:rPr>
          <w:rFonts w:ascii="Times New Roman" w:hAnsi="Times New Roman" w:cs="Times New Roman"/>
          <w:sz w:val="24"/>
          <w:szCs w:val="24"/>
        </w:rPr>
        <w:t>, u.c.</w:t>
      </w:r>
      <w:r w:rsidRPr="005E23D7">
        <w:rPr>
          <w:rFonts w:ascii="Times New Roman" w:hAnsi="Times New Roman" w:cs="Times New Roman"/>
          <w:sz w:val="24"/>
          <w:szCs w:val="24"/>
          <w:lang w:eastAsia="lv-LV"/>
        </w:rPr>
        <w:t xml:space="preserve"> Tai skaitā </w:t>
      </w:r>
      <w:r w:rsidRPr="005E23D7">
        <w:rPr>
          <w:rFonts w:ascii="Times New Roman" w:hAnsi="Times New Roman" w:cs="Times New Roman"/>
          <w:sz w:val="24"/>
          <w:szCs w:val="24"/>
        </w:rPr>
        <w:t>“</w:t>
      </w:r>
      <w:proofErr w:type="spellStart"/>
      <w:r w:rsidRPr="005E23D7">
        <w:rPr>
          <w:rFonts w:ascii="Times New Roman" w:hAnsi="Times New Roman" w:cs="Times New Roman"/>
          <w:sz w:val="24"/>
          <w:szCs w:val="24"/>
        </w:rPr>
        <w:t>Zalā</w:t>
      </w:r>
      <w:proofErr w:type="spellEnd"/>
      <w:r w:rsidRPr="005E23D7">
        <w:rPr>
          <w:rFonts w:ascii="Times New Roman" w:hAnsi="Times New Roman" w:cs="Times New Roman"/>
          <w:sz w:val="24"/>
          <w:szCs w:val="24"/>
        </w:rPr>
        <w:t xml:space="preserve"> koridora” ietvaros ir apstiprināti 10 projekti, kurus īstenojot plānots izveidot 659 jaunas darba vietas un ieguldīt investīcijas 242 000 000,00 EUR apmērā. </w:t>
      </w:r>
    </w:p>
    <w:p w14:paraId="214121E8" w14:textId="77777777" w:rsidR="0041288D" w:rsidRPr="005E23D7" w:rsidRDefault="0041288D" w:rsidP="005E23D7">
      <w:pPr>
        <w:spacing w:after="0" w:line="240" w:lineRule="auto"/>
        <w:jc w:val="both"/>
        <w:rPr>
          <w:rFonts w:ascii="Times New Roman" w:hAnsi="Times New Roman" w:cs="Times New Roman"/>
          <w:sz w:val="24"/>
          <w:szCs w:val="24"/>
          <w:lang w:eastAsia="lv-LV"/>
        </w:rPr>
      </w:pPr>
    </w:p>
    <w:p w14:paraId="4E490E9E" w14:textId="7DEBDEBD" w:rsidR="00152EDA" w:rsidRPr="005E23D7" w:rsidRDefault="0046257B" w:rsidP="005E23D7">
      <w:pPr>
        <w:spacing w:after="0" w:line="240" w:lineRule="auto"/>
        <w:jc w:val="both"/>
        <w:rPr>
          <w:rFonts w:ascii="Times New Roman" w:hAnsi="Times New Roman" w:cs="Times New Roman"/>
          <w:sz w:val="24"/>
          <w:szCs w:val="24"/>
          <w:lang w:eastAsia="lv-LV"/>
        </w:rPr>
      </w:pPr>
      <w:r w:rsidRPr="005E23D7">
        <w:rPr>
          <w:rFonts w:ascii="Times New Roman" w:hAnsi="Times New Roman" w:cs="Times New Roman"/>
          <w:sz w:val="24"/>
          <w:szCs w:val="24"/>
          <w:lang w:eastAsia="lv-LV"/>
        </w:rPr>
        <w:lastRenderedPageBreak/>
        <w:t xml:space="preserve">Jaunā Latvijas </w:t>
      </w:r>
      <w:r w:rsidR="00152EDA" w:rsidRPr="005E23D7">
        <w:rPr>
          <w:rFonts w:ascii="Times New Roman" w:hAnsi="Times New Roman" w:cs="Times New Roman"/>
          <w:sz w:val="24"/>
          <w:szCs w:val="24"/>
          <w:u w:val="single"/>
          <w:lang w:eastAsia="lv-LV"/>
        </w:rPr>
        <w:t>A</w:t>
      </w:r>
      <w:r w:rsidRPr="005E23D7">
        <w:rPr>
          <w:rFonts w:ascii="Times New Roman" w:hAnsi="Times New Roman" w:cs="Times New Roman"/>
          <w:sz w:val="24"/>
          <w:szCs w:val="24"/>
          <w:u w:val="single"/>
          <w:lang w:eastAsia="lv-LV"/>
        </w:rPr>
        <w:t>tveseļošanas un noturības mehānisma ie</w:t>
      </w:r>
      <w:r w:rsidR="00152EDA" w:rsidRPr="005E23D7">
        <w:rPr>
          <w:rFonts w:ascii="Times New Roman" w:hAnsi="Times New Roman" w:cs="Times New Roman"/>
          <w:sz w:val="24"/>
          <w:szCs w:val="24"/>
          <w:u w:val="single"/>
          <w:lang w:eastAsia="lv-LV"/>
        </w:rPr>
        <w:t>tvaros izstrādāt</w:t>
      </w:r>
      <w:r w:rsidR="0041288D" w:rsidRPr="005E23D7">
        <w:rPr>
          <w:rFonts w:ascii="Times New Roman" w:hAnsi="Times New Roman" w:cs="Times New Roman"/>
          <w:sz w:val="24"/>
          <w:szCs w:val="24"/>
          <w:u w:val="single"/>
          <w:lang w:eastAsia="lv-LV"/>
        </w:rPr>
        <w:t>a</w:t>
      </w:r>
      <w:r w:rsidRPr="005E23D7">
        <w:rPr>
          <w:rFonts w:ascii="Times New Roman" w:hAnsi="Times New Roman" w:cs="Times New Roman"/>
          <w:sz w:val="24"/>
          <w:szCs w:val="24"/>
          <w:u w:val="single"/>
          <w:lang w:eastAsia="lv-LV"/>
        </w:rPr>
        <w:t>s</w:t>
      </w:r>
      <w:r w:rsidR="00152EDA" w:rsidRPr="005E23D7">
        <w:rPr>
          <w:rFonts w:ascii="Times New Roman" w:hAnsi="Times New Roman" w:cs="Times New Roman"/>
          <w:sz w:val="24"/>
          <w:szCs w:val="24"/>
          <w:u w:val="single"/>
          <w:lang w:eastAsia="lv-LV"/>
        </w:rPr>
        <w:t xml:space="preserve"> un apstiprināt</w:t>
      </w:r>
      <w:r w:rsidRPr="005E23D7">
        <w:rPr>
          <w:rFonts w:ascii="Times New Roman" w:hAnsi="Times New Roman" w:cs="Times New Roman"/>
          <w:sz w:val="24"/>
          <w:szCs w:val="24"/>
          <w:u w:val="single"/>
          <w:lang w:eastAsia="lv-LV"/>
        </w:rPr>
        <w:t>as</w:t>
      </w:r>
      <w:r w:rsidR="00152EDA" w:rsidRPr="005E23D7">
        <w:rPr>
          <w:rFonts w:ascii="Times New Roman" w:hAnsi="Times New Roman" w:cs="Times New Roman"/>
          <w:sz w:val="24"/>
          <w:szCs w:val="24"/>
          <w:u w:val="single"/>
          <w:lang w:eastAsia="lv-LV"/>
        </w:rPr>
        <w:t xml:space="preserve"> vairāk</w:t>
      </w:r>
      <w:r w:rsidRPr="005E23D7">
        <w:rPr>
          <w:rFonts w:ascii="Times New Roman" w:hAnsi="Times New Roman" w:cs="Times New Roman"/>
          <w:sz w:val="24"/>
          <w:szCs w:val="24"/>
          <w:u w:val="single"/>
          <w:lang w:eastAsia="lv-LV"/>
        </w:rPr>
        <w:t>as</w:t>
      </w:r>
      <w:r w:rsidR="00152EDA" w:rsidRPr="005E23D7">
        <w:rPr>
          <w:rFonts w:ascii="Times New Roman" w:hAnsi="Times New Roman" w:cs="Times New Roman"/>
          <w:sz w:val="24"/>
          <w:szCs w:val="24"/>
          <w:u w:val="single"/>
          <w:lang w:eastAsia="lv-LV"/>
        </w:rPr>
        <w:t xml:space="preserve"> </w:t>
      </w:r>
      <w:r w:rsidRPr="005E23D7">
        <w:rPr>
          <w:rFonts w:ascii="Times New Roman" w:hAnsi="Times New Roman" w:cs="Times New Roman"/>
          <w:sz w:val="24"/>
          <w:szCs w:val="24"/>
          <w:u w:val="single"/>
          <w:lang w:eastAsia="lv-LV"/>
        </w:rPr>
        <w:t>atbalsta programmas</w:t>
      </w:r>
      <w:r w:rsidR="00152EDA" w:rsidRPr="005E23D7">
        <w:rPr>
          <w:rFonts w:ascii="Times New Roman" w:hAnsi="Times New Roman" w:cs="Times New Roman"/>
          <w:sz w:val="24"/>
          <w:szCs w:val="24"/>
          <w:u w:val="single"/>
          <w:lang w:eastAsia="lv-LV"/>
        </w:rPr>
        <w:t xml:space="preserve"> uzņēmumu digitālās transformācijas veicināšanai un inovāciju attīstīšanai</w:t>
      </w:r>
      <w:r w:rsidR="0041288D" w:rsidRPr="005E23D7">
        <w:rPr>
          <w:rFonts w:ascii="Times New Roman" w:hAnsi="Times New Roman" w:cs="Times New Roman"/>
          <w:sz w:val="24"/>
          <w:szCs w:val="24"/>
          <w:u w:val="single"/>
          <w:lang w:eastAsia="lv-LV"/>
        </w:rPr>
        <w:t>,</w:t>
      </w:r>
      <w:r w:rsidR="0041288D" w:rsidRPr="005E23D7">
        <w:rPr>
          <w:rFonts w:ascii="Times New Roman" w:hAnsi="Times New Roman" w:cs="Times New Roman"/>
          <w:sz w:val="24"/>
          <w:szCs w:val="24"/>
          <w:lang w:eastAsia="lv-LV"/>
        </w:rPr>
        <w:t xml:space="preserve"> kas būs pieejamas ar 2023. gadu</w:t>
      </w:r>
      <w:r w:rsidRPr="005E23D7">
        <w:rPr>
          <w:rFonts w:ascii="Times New Roman" w:hAnsi="Times New Roman" w:cs="Times New Roman"/>
          <w:sz w:val="24"/>
          <w:szCs w:val="24"/>
          <w:lang w:eastAsia="lv-LV"/>
        </w:rPr>
        <w:t>.</w:t>
      </w:r>
      <w:r w:rsidR="00152EDA" w:rsidRPr="005E23D7">
        <w:rPr>
          <w:rFonts w:ascii="Times New Roman" w:hAnsi="Times New Roman" w:cs="Times New Roman"/>
          <w:sz w:val="24"/>
          <w:szCs w:val="24"/>
          <w:lang w:eastAsia="lv-LV"/>
        </w:rPr>
        <w:t xml:space="preserve"> </w:t>
      </w:r>
    </w:p>
    <w:p w14:paraId="63C29FC8" w14:textId="5CCCED2C" w:rsidR="00152EDA" w:rsidRPr="005E23D7" w:rsidRDefault="00152EDA" w:rsidP="005E23D7">
      <w:pPr>
        <w:pStyle w:val="ListParagraph"/>
        <w:numPr>
          <w:ilvl w:val="0"/>
          <w:numId w:val="7"/>
        </w:numPr>
        <w:spacing w:after="0" w:line="240" w:lineRule="auto"/>
        <w:jc w:val="both"/>
        <w:rPr>
          <w:rFonts w:eastAsia="Times New Roman"/>
          <w:lang w:eastAsia="lv-LV"/>
        </w:rPr>
      </w:pPr>
      <w:r w:rsidRPr="005E23D7">
        <w:rPr>
          <w:rFonts w:eastAsia="Times New Roman"/>
          <w:lang w:eastAsia="lv-LV"/>
        </w:rPr>
        <w:t>Atbalst</w:t>
      </w:r>
      <w:r w:rsidR="0046257B" w:rsidRPr="005E23D7">
        <w:rPr>
          <w:rFonts w:eastAsia="Times New Roman"/>
          <w:lang w:eastAsia="lv-LV"/>
        </w:rPr>
        <w:t>am</w:t>
      </w:r>
      <w:r w:rsidRPr="005E23D7">
        <w:rPr>
          <w:rFonts w:eastAsia="Times New Roman"/>
          <w:lang w:eastAsia="lv-LV"/>
        </w:rPr>
        <w:t xml:space="preserve"> </w:t>
      </w:r>
      <w:r w:rsidR="0046257B" w:rsidRPr="005E23D7">
        <w:rPr>
          <w:rFonts w:eastAsia="Times New Roman"/>
          <w:lang w:eastAsia="lv-LV"/>
        </w:rPr>
        <w:t xml:space="preserve">Eiropas </w:t>
      </w:r>
      <w:r w:rsidRPr="005E23D7">
        <w:rPr>
          <w:rFonts w:eastAsia="Times New Roman"/>
          <w:lang w:eastAsia="lv-LV"/>
        </w:rPr>
        <w:t xml:space="preserve">Digitālo inovāciju centru </w:t>
      </w:r>
      <w:r w:rsidR="0046257B" w:rsidRPr="005E23D7">
        <w:rPr>
          <w:rFonts w:eastAsia="Times New Roman"/>
          <w:lang w:eastAsia="lv-LV"/>
        </w:rPr>
        <w:t xml:space="preserve">darbības uzsākšanai </w:t>
      </w:r>
      <w:r w:rsidRPr="005E23D7">
        <w:rPr>
          <w:rFonts w:eastAsia="Times New Roman"/>
          <w:lang w:eastAsia="lv-LV"/>
        </w:rPr>
        <w:t xml:space="preserve">un reģionālo kontaktpunktu izveidei </w:t>
      </w:r>
      <w:r w:rsidR="0046257B" w:rsidRPr="005E23D7">
        <w:rPr>
          <w:rFonts w:eastAsia="Times New Roman"/>
          <w:lang w:eastAsia="lv-LV"/>
        </w:rPr>
        <w:t>piešķirts f</w:t>
      </w:r>
      <w:r w:rsidRPr="005E23D7">
        <w:rPr>
          <w:rFonts w:eastAsia="Times New Roman"/>
          <w:lang w:eastAsia="lv-LV"/>
        </w:rPr>
        <w:t xml:space="preserve">inansējums 10 milj. </w:t>
      </w:r>
      <w:r w:rsidR="0041288D" w:rsidRPr="005E23D7">
        <w:rPr>
          <w:rFonts w:eastAsia="Times New Roman"/>
          <w:lang w:eastAsia="lv-LV"/>
        </w:rPr>
        <w:t>EUR</w:t>
      </w:r>
      <w:r w:rsidRPr="005E23D7">
        <w:rPr>
          <w:rFonts w:eastAsia="Times New Roman"/>
          <w:lang w:eastAsia="lv-LV"/>
        </w:rPr>
        <w:t xml:space="preserve"> apmērā;</w:t>
      </w:r>
    </w:p>
    <w:p w14:paraId="3C78BA6F" w14:textId="59320FDF" w:rsidR="00152EDA" w:rsidRPr="005E23D7" w:rsidRDefault="00152EDA" w:rsidP="005E23D7">
      <w:pPr>
        <w:pStyle w:val="ListParagraph"/>
        <w:numPr>
          <w:ilvl w:val="0"/>
          <w:numId w:val="7"/>
        </w:numPr>
        <w:spacing w:after="0" w:line="240" w:lineRule="auto"/>
        <w:jc w:val="both"/>
        <w:rPr>
          <w:rFonts w:eastAsia="Times New Roman"/>
          <w:lang w:eastAsia="lv-LV"/>
        </w:rPr>
      </w:pPr>
      <w:r w:rsidRPr="005E23D7">
        <w:rPr>
          <w:rFonts w:eastAsia="Times New Roman"/>
          <w:lang w:eastAsia="lv-LV"/>
        </w:rPr>
        <w:t xml:space="preserve">Uzņēmumu </w:t>
      </w:r>
      <w:r w:rsidR="0046257B" w:rsidRPr="005E23D7">
        <w:rPr>
          <w:rFonts w:eastAsia="Times New Roman"/>
          <w:lang w:eastAsia="lv-LV"/>
        </w:rPr>
        <w:t xml:space="preserve">digitālās transformācijas veicināšanai pieejams </w:t>
      </w:r>
      <w:r w:rsidRPr="005E23D7">
        <w:rPr>
          <w:rFonts w:eastAsia="Times New Roman"/>
          <w:lang w:eastAsia="lv-LV"/>
        </w:rPr>
        <w:t>finanšu aizdevum</w:t>
      </w:r>
      <w:r w:rsidR="0046257B" w:rsidRPr="005E23D7">
        <w:rPr>
          <w:rFonts w:eastAsia="Times New Roman"/>
          <w:lang w:eastAsia="lv-LV"/>
        </w:rPr>
        <w:t>s</w:t>
      </w:r>
      <w:r w:rsidRPr="005E23D7">
        <w:rPr>
          <w:rFonts w:eastAsia="Times New Roman"/>
          <w:lang w:eastAsia="lv-LV"/>
        </w:rPr>
        <w:t xml:space="preserve"> ar kapitāla atlaides piemērošanu. </w:t>
      </w:r>
      <w:r w:rsidR="0046257B" w:rsidRPr="005E23D7">
        <w:rPr>
          <w:rFonts w:eastAsia="Times New Roman"/>
          <w:lang w:eastAsia="lv-LV"/>
        </w:rPr>
        <w:t>Programmas kopējais f</w:t>
      </w:r>
      <w:r w:rsidRPr="005E23D7">
        <w:rPr>
          <w:rFonts w:eastAsia="Times New Roman"/>
          <w:lang w:eastAsia="lv-LV"/>
        </w:rPr>
        <w:t xml:space="preserve">inansējums  </w:t>
      </w:r>
      <w:r w:rsidR="0046257B" w:rsidRPr="005E23D7">
        <w:rPr>
          <w:rFonts w:eastAsia="Times New Roman"/>
          <w:lang w:eastAsia="lv-LV"/>
        </w:rPr>
        <w:t xml:space="preserve">ir </w:t>
      </w:r>
      <w:r w:rsidRPr="005E23D7">
        <w:rPr>
          <w:rFonts w:eastAsia="Times New Roman"/>
          <w:lang w:eastAsia="lv-LV"/>
        </w:rPr>
        <w:t xml:space="preserve">45,1 milj. </w:t>
      </w:r>
      <w:r w:rsidR="0041288D" w:rsidRPr="005E23D7">
        <w:rPr>
          <w:rFonts w:eastAsia="Times New Roman"/>
          <w:lang w:eastAsia="lv-LV"/>
        </w:rPr>
        <w:t>EUR</w:t>
      </w:r>
      <w:r w:rsidRPr="005E23D7">
        <w:rPr>
          <w:rFonts w:eastAsia="Times New Roman"/>
          <w:lang w:eastAsia="lv-LV"/>
        </w:rPr>
        <w:t xml:space="preserve">; </w:t>
      </w:r>
    </w:p>
    <w:p w14:paraId="7E951B0C" w14:textId="1340F9EE" w:rsidR="00152EDA" w:rsidRPr="005E23D7" w:rsidRDefault="00152EDA" w:rsidP="005E23D7">
      <w:pPr>
        <w:pStyle w:val="ListParagraph"/>
        <w:numPr>
          <w:ilvl w:val="0"/>
          <w:numId w:val="7"/>
        </w:numPr>
        <w:spacing w:after="0" w:line="240" w:lineRule="auto"/>
        <w:jc w:val="both"/>
        <w:rPr>
          <w:rFonts w:eastAsia="Times New Roman"/>
          <w:lang w:eastAsia="lv-LV"/>
        </w:rPr>
      </w:pPr>
      <w:r w:rsidRPr="005E23D7">
        <w:rPr>
          <w:rFonts w:eastAsia="Times New Roman"/>
        </w:rPr>
        <w:t>Atbalst</w:t>
      </w:r>
      <w:r w:rsidR="0046257B" w:rsidRPr="005E23D7">
        <w:rPr>
          <w:rFonts w:eastAsia="Times New Roman"/>
        </w:rPr>
        <w:t>am uzņēmējdarbības</w:t>
      </w:r>
      <w:r w:rsidRPr="005E23D7">
        <w:rPr>
          <w:rFonts w:eastAsia="Times New Roman"/>
        </w:rPr>
        <w:t xml:space="preserve"> procesu digitalizācijai komercdarbībā</w:t>
      </w:r>
      <w:r w:rsidR="0046257B" w:rsidRPr="005E23D7">
        <w:rPr>
          <w:rFonts w:eastAsia="Times New Roman"/>
        </w:rPr>
        <w:t xml:space="preserve"> būs pieejams atbalsts </w:t>
      </w:r>
      <w:r w:rsidRPr="005E23D7">
        <w:rPr>
          <w:rFonts w:eastAsia="Times New Roman"/>
          <w:lang w:eastAsia="lv-LV"/>
        </w:rPr>
        <w:t xml:space="preserve">40 milj. </w:t>
      </w:r>
      <w:r w:rsidR="0041288D" w:rsidRPr="005E23D7">
        <w:rPr>
          <w:rFonts w:eastAsia="Times New Roman"/>
          <w:lang w:eastAsia="lv-LV"/>
        </w:rPr>
        <w:t>EUR</w:t>
      </w:r>
      <w:r w:rsidRPr="005E23D7">
        <w:rPr>
          <w:rFonts w:eastAsia="Times New Roman"/>
          <w:lang w:eastAsia="lv-LV"/>
        </w:rPr>
        <w:t xml:space="preserve"> apmērā.</w:t>
      </w:r>
    </w:p>
    <w:p w14:paraId="3C131A15" w14:textId="77777777" w:rsidR="005E23D7" w:rsidRDefault="005E23D7" w:rsidP="005E23D7">
      <w:pPr>
        <w:spacing w:after="0" w:line="240" w:lineRule="auto"/>
        <w:jc w:val="both"/>
        <w:rPr>
          <w:rFonts w:ascii="Times New Roman" w:hAnsi="Times New Roman" w:cs="Times New Roman"/>
          <w:sz w:val="24"/>
          <w:szCs w:val="24"/>
          <w:lang w:eastAsia="lv-LV"/>
        </w:rPr>
      </w:pPr>
    </w:p>
    <w:p w14:paraId="393B9CB0" w14:textId="6249962D" w:rsidR="00152EDA" w:rsidRPr="005E23D7" w:rsidRDefault="00152EDA" w:rsidP="005E23D7">
      <w:pPr>
        <w:spacing w:after="0" w:line="240" w:lineRule="auto"/>
        <w:jc w:val="both"/>
        <w:rPr>
          <w:rFonts w:ascii="Times New Roman" w:hAnsi="Times New Roman" w:cs="Times New Roman"/>
          <w:sz w:val="24"/>
          <w:szCs w:val="24"/>
          <w:lang w:eastAsia="lv-LV"/>
        </w:rPr>
      </w:pPr>
      <w:r w:rsidRPr="005E23D7">
        <w:rPr>
          <w:rFonts w:ascii="Times New Roman" w:hAnsi="Times New Roman" w:cs="Times New Roman"/>
          <w:sz w:val="24"/>
          <w:szCs w:val="24"/>
          <w:lang w:eastAsia="lv-LV"/>
        </w:rPr>
        <w:t xml:space="preserve">Uzņēmumiem  būs iespēja ne tikai notestēt savas saimnieciskās darbības digitālo pakāpi, bet arī veikt ieguldījumus turpmākai </w:t>
      </w:r>
      <w:proofErr w:type="spellStart"/>
      <w:r w:rsidRPr="005E23D7">
        <w:rPr>
          <w:rFonts w:ascii="Times New Roman" w:hAnsi="Times New Roman" w:cs="Times New Roman"/>
          <w:sz w:val="24"/>
          <w:szCs w:val="24"/>
          <w:lang w:eastAsia="lv-LV"/>
        </w:rPr>
        <w:t>digitalizācijai</w:t>
      </w:r>
      <w:proofErr w:type="spellEnd"/>
      <w:r w:rsidRPr="005E23D7">
        <w:rPr>
          <w:rFonts w:ascii="Times New Roman" w:hAnsi="Times New Roman" w:cs="Times New Roman"/>
          <w:sz w:val="24"/>
          <w:szCs w:val="24"/>
          <w:lang w:eastAsia="lv-LV"/>
        </w:rPr>
        <w:t xml:space="preserve">, piesaistot </w:t>
      </w:r>
      <w:proofErr w:type="spellStart"/>
      <w:r w:rsidRPr="005E23D7">
        <w:rPr>
          <w:rFonts w:ascii="Times New Roman" w:hAnsi="Times New Roman" w:cs="Times New Roman"/>
          <w:sz w:val="24"/>
          <w:szCs w:val="24"/>
          <w:lang w:eastAsia="lv-LV"/>
        </w:rPr>
        <w:t>grantus</w:t>
      </w:r>
      <w:proofErr w:type="spellEnd"/>
      <w:r w:rsidRPr="005E23D7">
        <w:rPr>
          <w:rFonts w:ascii="Times New Roman" w:hAnsi="Times New Roman" w:cs="Times New Roman"/>
          <w:sz w:val="24"/>
          <w:szCs w:val="24"/>
          <w:lang w:eastAsia="lv-LV"/>
        </w:rPr>
        <w:t xml:space="preserve"> vai aizdevumus.</w:t>
      </w:r>
    </w:p>
    <w:p w14:paraId="7C4FEADF" w14:textId="77777777" w:rsidR="005E23D7" w:rsidRDefault="005E23D7" w:rsidP="005E23D7">
      <w:pPr>
        <w:spacing w:after="0" w:line="240" w:lineRule="auto"/>
        <w:jc w:val="both"/>
        <w:rPr>
          <w:rFonts w:ascii="Times New Roman" w:eastAsia="Times New Roman" w:hAnsi="Times New Roman" w:cs="Times New Roman"/>
          <w:sz w:val="24"/>
          <w:szCs w:val="24"/>
          <w:lang w:eastAsia="lv-LV"/>
        </w:rPr>
      </w:pPr>
    </w:p>
    <w:p w14:paraId="1E10F50A" w14:textId="43DC7A62" w:rsidR="00152EDA" w:rsidRPr="005E23D7" w:rsidRDefault="00BD73A7" w:rsidP="005E23D7">
      <w:pPr>
        <w:spacing w:after="0" w:line="240" w:lineRule="auto"/>
        <w:jc w:val="both"/>
        <w:rPr>
          <w:rFonts w:ascii="Times New Roman" w:eastAsia="Times New Roman" w:hAnsi="Times New Roman" w:cs="Times New Roman"/>
          <w:sz w:val="24"/>
          <w:szCs w:val="24"/>
          <w:lang w:eastAsia="lv-LV"/>
        </w:rPr>
      </w:pPr>
      <w:r w:rsidRPr="005E23D7">
        <w:rPr>
          <w:rFonts w:ascii="Times New Roman" w:eastAsia="Times New Roman" w:hAnsi="Times New Roman" w:cs="Times New Roman"/>
          <w:sz w:val="24"/>
          <w:szCs w:val="24"/>
          <w:lang w:eastAsia="lv-LV"/>
        </w:rPr>
        <w:t>Apstiprināts arī a</w:t>
      </w:r>
      <w:r w:rsidR="00152EDA" w:rsidRPr="005E23D7">
        <w:rPr>
          <w:rFonts w:ascii="Times New Roman" w:eastAsia="Times New Roman" w:hAnsi="Times New Roman" w:cs="Times New Roman"/>
          <w:sz w:val="24"/>
          <w:szCs w:val="24"/>
          <w:lang w:eastAsia="lv-LV"/>
        </w:rPr>
        <w:t>tbalst</w:t>
      </w:r>
      <w:r w:rsidR="005B396F" w:rsidRPr="005E23D7">
        <w:rPr>
          <w:rFonts w:ascii="Times New Roman" w:eastAsia="Times New Roman" w:hAnsi="Times New Roman" w:cs="Times New Roman"/>
          <w:sz w:val="24"/>
          <w:szCs w:val="24"/>
          <w:lang w:eastAsia="lv-LV"/>
        </w:rPr>
        <w:t>s</w:t>
      </w:r>
      <w:r w:rsidR="00152EDA" w:rsidRPr="005E23D7">
        <w:rPr>
          <w:rFonts w:ascii="Times New Roman" w:eastAsia="Times New Roman" w:hAnsi="Times New Roman" w:cs="Times New Roman"/>
          <w:sz w:val="24"/>
          <w:szCs w:val="24"/>
          <w:lang w:eastAsia="lv-LV"/>
        </w:rPr>
        <w:t xml:space="preserve"> </w:t>
      </w:r>
      <w:r w:rsidR="005B396F" w:rsidRPr="005E23D7">
        <w:rPr>
          <w:rFonts w:ascii="Times New Roman" w:eastAsia="Times New Roman" w:hAnsi="Times New Roman" w:cs="Times New Roman"/>
          <w:sz w:val="24"/>
          <w:szCs w:val="24"/>
          <w:lang w:eastAsia="lv-LV"/>
        </w:rPr>
        <w:t xml:space="preserve">25 </w:t>
      </w:r>
      <w:proofErr w:type="spellStart"/>
      <w:r w:rsidR="005B396F" w:rsidRPr="005E23D7">
        <w:rPr>
          <w:rFonts w:ascii="Times New Roman" w:eastAsia="Times New Roman" w:hAnsi="Times New Roman" w:cs="Times New Roman"/>
          <w:sz w:val="24"/>
          <w:szCs w:val="24"/>
          <w:lang w:eastAsia="lv-LV"/>
        </w:rPr>
        <w:t>milj.eiro</w:t>
      </w:r>
      <w:proofErr w:type="spellEnd"/>
      <w:r w:rsidR="005B396F" w:rsidRPr="005E23D7">
        <w:rPr>
          <w:rFonts w:ascii="Times New Roman" w:eastAsia="Times New Roman" w:hAnsi="Times New Roman" w:cs="Times New Roman"/>
          <w:sz w:val="24"/>
          <w:szCs w:val="24"/>
          <w:lang w:eastAsia="lv-LV"/>
        </w:rPr>
        <w:t xml:space="preserve"> apmērā </w:t>
      </w:r>
      <w:r w:rsidR="00152EDA" w:rsidRPr="005E23D7">
        <w:rPr>
          <w:rFonts w:ascii="Times New Roman" w:eastAsia="Times New Roman" w:hAnsi="Times New Roman" w:cs="Times New Roman"/>
          <w:sz w:val="24"/>
          <w:szCs w:val="24"/>
          <w:u w:val="single"/>
          <w:lang w:eastAsia="lv-LV"/>
        </w:rPr>
        <w:t>inovāciju klasteru attīstībai kompetences centru ietvaros</w:t>
      </w:r>
      <w:r w:rsidR="00152EDA" w:rsidRPr="005E23D7">
        <w:rPr>
          <w:rFonts w:ascii="Times New Roman" w:eastAsia="Times New Roman" w:hAnsi="Times New Roman" w:cs="Times New Roman"/>
          <w:sz w:val="24"/>
          <w:szCs w:val="24"/>
          <w:lang w:eastAsia="lv-LV"/>
        </w:rPr>
        <w:t>, lai nodrošinātu pārejas finansējumu pētniecības projektu īstenošanai un jaunu produktu, tehnoloģiju vai pakalpojumu izstrādi.</w:t>
      </w:r>
    </w:p>
    <w:p w14:paraId="278E610A" w14:textId="77777777" w:rsidR="0041288D" w:rsidRPr="005E23D7" w:rsidRDefault="0041288D" w:rsidP="005E23D7">
      <w:pPr>
        <w:spacing w:after="0" w:line="240" w:lineRule="auto"/>
        <w:jc w:val="both"/>
        <w:rPr>
          <w:rFonts w:ascii="Times New Roman" w:eastAsia="Times New Roman" w:hAnsi="Times New Roman" w:cs="Times New Roman"/>
          <w:sz w:val="24"/>
          <w:szCs w:val="24"/>
          <w:lang w:eastAsia="lv-LV"/>
        </w:rPr>
      </w:pPr>
    </w:p>
    <w:p w14:paraId="27531A47" w14:textId="4984C4CE" w:rsidR="0024384D" w:rsidRPr="005E23D7" w:rsidRDefault="0005097A" w:rsidP="005E23D7">
      <w:pPr>
        <w:spacing w:after="0" w:line="240" w:lineRule="auto"/>
        <w:jc w:val="both"/>
        <w:rPr>
          <w:rFonts w:ascii="Times New Roman" w:eastAsia="Times New Roman" w:hAnsi="Times New Roman" w:cs="Times New Roman"/>
          <w:sz w:val="24"/>
          <w:szCs w:val="24"/>
          <w:lang w:eastAsia="lv-LV"/>
        </w:rPr>
      </w:pPr>
      <w:r w:rsidRPr="005E23D7">
        <w:rPr>
          <w:rStyle w:val="normaltextrun"/>
          <w:rFonts w:ascii="Times New Roman" w:hAnsi="Times New Roman" w:cs="Times New Roman"/>
          <w:color w:val="000000"/>
          <w:sz w:val="24"/>
          <w:szCs w:val="24"/>
        </w:rPr>
        <w:t xml:space="preserve">Lai mazinātu Krievijas militārās agresijas pret </w:t>
      </w:r>
      <w:r w:rsidRPr="005E23D7">
        <w:rPr>
          <w:rStyle w:val="findhit"/>
          <w:rFonts w:ascii="Times New Roman" w:hAnsi="Times New Roman" w:cs="Times New Roman"/>
          <w:color w:val="000000"/>
          <w:sz w:val="24"/>
          <w:szCs w:val="24"/>
        </w:rPr>
        <w:t>Ukrain</w:t>
      </w:r>
      <w:r w:rsidRPr="005E23D7">
        <w:rPr>
          <w:rStyle w:val="normaltextrun"/>
          <w:rFonts w:ascii="Times New Roman" w:hAnsi="Times New Roman" w:cs="Times New Roman"/>
          <w:color w:val="000000"/>
          <w:sz w:val="24"/>
          <w:szCs w:val="24"/>
        </w:rPr>
        <w:t xml:space="preserve">u radītās ekonomiskās sekas un nodrošinātu tūlītēju atbalstu uzņēmējiem ir izstrādāti atbalsta pasākumi mazo un vidējo un lielo uzņēmumu </w:t>
      </w:r>
      <w:r w:rsidRPr="005E23D7">
        <w:rPr>
          <w:rFonts w:ascii="Times New Roman" w:eastAsia="Times New Roman" w:hAnsi="Times New Roman" w:cs="Times New Roman"/>
          <w:sz w:val="24"/>
          <w:szCs w:val="24"/>
          <w:u w:val="single"/>
          <w:lang w:eastAsia="lv-LV"/>
        </w:rPr>
        <w:t>likviditātes aizdevumu</w:t>
      </w:r>
      <w:r w:rsidRPr="005E23D7">
        <w:rPr>
          <w:rFonts w:ascii="Times New Roman" w:eastAsia="Times New Roman" w:hAnsi="Times New Roman" w:cs="Times New Roman"/>
          <w:sz w:val="24"/>
          <w:szCs w:val="24"/>
          <w:lang w:eastAsia="lv-LV"/>
        </w:rPr>
        <w:t xml:space="preserve"> veidā apgrozāmajiem līdzekļiem un investīcijām līdz 3 milj. </w:t>
      </w:r>
      <w:r w:rsidR="0041288D" w:rsidRPr="005E23D7">
        <w:rPr>
          <w:rFonts w:ascii="Times New Roman" w:eastAsia="Times New Roman" w:hAnsi="Times New Roman" w:cs="Times New Roman"/>
          <w:sz w:val="24"/>
          <w:szCs w:val="24"/>
          <w:lang w:eastAsia="lv-LV"/>
        </w:rPr>
        <w:t>EUR</w:t>
      </w:r>
      <w:r w:rsidRPr="005E23D7">
        <w:rPr>
          <w:rFonts w:ascii="Times New Roman" w:eastAsia="Times New Roman" w:hAnsi="Times New Roman" w:cs="Times New Roman"/>
          <w:sz w:val="24"/>
          <w:szCs w:val="24"/>
          <w:lang w:eastAsia="lv-LV"/>
        </w:rPr>
        <w:t xml:space="preserve">. Finansējums 21,5 milj. </w:t>
      </w:r>
      <w:r w:rsidR="0041288D" w:rsidRPr="005E23D7">
        <w:rPr>
          <w:rFonts w:ascii="Times New Roman" w:eastAsia="Times New Roman" w:hAnsi="Times New Roman" w:cs="Times New Roman"/>
          <w:sz w:val="24"/>
          <w:szCs w:val="24"/>
          <w:lang w:eastAsia="lv-LV"/>
        </w:rPr>
        <w:t>EUR</w:t>
      </w:r>
      <w:r w:rsidRPr="005E23D7">
        <w:rPr>
          <w:rFonts w:ascii="Times New Roman" w:eastAsia="Times New Roman" w:hAnsi="Times New Roman" w:cs="Times New Roman"/>
          <w:sz w:val="24"/>
          <w:szCs w:val="24"/>
          <w:lang w:eastAsia="lv-LV"/>
        </w:rPr>
        <w:t xml:space="preserve"> apmērā būs pieejams 2023.gadā. Tāpat uzņēmējiem tiek piedāvāts atbalsts </w:t>
      </w:r>
      <w:r w:rsidRPr="005E23D7">
        <w:rPr>
          <w:rFonts w:ascii="Times New Roman" w:eastAsia="Times New Roman" w:hAnsi="Times New Roman" w:cs="Times New Roman"/>
          <w:sz w:val="24"/>
          <w:szCs w:val="24"/>
          <w:u w:val="single"/>
          <w:lang w:eastAsia="lv-LV"/>
        </w:rPr>
        <w:t>likviditātes garantiju</w:t>
      </w:r>
      <w:r w:rsidRPr="005E23D7">
        <w:rPr>
          <w:rFonts w:ascii="Times New Roman" w:eastAsia="Times New Roman" w:hAnsi="Times New Roman" w:cs="Times New Roman"/>
          <w:sz w:val="24"/>
          <w:szCs w:val="24"/>
          <w:lang w:eastAsia="lv-LV"/>
        </w:rPr>
        <w:t xml:space="preserve"> veidā saimnieciskās darbības veicējiem (MVU, lielajiem uzņēmumiem, biedrībām). Garantiju summa līdz 5 milj. </w:t>
      </w:r>
      <w:r w:rsidR="0041288D" w:rsidRPr="005E23D7">
        <w:rPr>
          <w:rFonts w:ascii="Times New Roman" w:eastAsia="Times New Roman" w:hAnsi="Times New Roman" w:cs="Times New Roman"/>
          <w:sz w:val="24"/>
          <w:szCs w:val="24"/>
          <w:lang w:eastAsia="lv-LV"/>
        </w:rPr>
        <w:t>EUR</w:t>
      </w:r>
      <w:r w:rsidRPr="005E23D7">
        <w:rPr>
          <w:rFonts w:ascii="Times New Roman" w:eastAsia="Times New Roman" w:hAnsi="Times New Roman" w:cs="Times New Roman"/>
          <w:sz w:val="24"/>
          <w:szCs w:val="24"/>
          <w:lang w:eastAsia="lv-LV"/>
        </w:rPr>
        <w:t xml:space="preserve">. Finansējums 12,5 milj. </w:t>
      </w:r>
      <w:r w:rsidR="0041288D" w:rsidRPr="005E23D7">
        <w:rPr>
          <w:rFonts w:ascii="Times New Roman" w:eastAsia="Times New Roman" w:hAnsi="Times New Roman" w:cs="Times New Roman"/>
          <w:sz w:val="24"/>
          <w:szCs w:val="24"/>
          <w:lang w:eastAsia="lv-LV"/>
        </w:rPr>
        <w:t>EUR</w:t>
      </w:r>
      <w:r w:rsidRPr="005E23D7">
        <w:rPr>
          <w:rFonts w:ascii="Times New Roman" w:eastAsia="Times New Roman" w:hAnsi="Times New Roman" w:cs="Times New Roman"/>
          <w:sz w:val="24"/>
          <w:szCs w:val="24"/>
          <w:lang w:eastAsia="lv-LV"/>
        </w:rPr>
        <w:t xml:space="preserve"> apmērā būs pieejams 2023.gadā. </w:t>
      </w:r>
    </w:p>
    <w:p w14:paraId="057EFC1D" w14:textId="77777777" w:rsidR="0041288D" w:rsidRPr="005E23D7" w:rsidRDefault="0041288D" w:rsidP="005E23D7">
      <w:pPr>
        <w:spacing w:after="0" w:line="240" w:lineRule="auto"/>
        <w:jc w:val="both"/>
        <w:rPr>
          <w:rFonts w:ascii="Times New Roman" w:eastAsia="Times New Roman" w:hAnsi="Times New Roman" w:cs="Times New Roman"/>
          <w:sz w:val="24"/>
          <w:szCs w:val="24"/>
          <w:lang w:eastAsia="lv-LV"/>
        </w:rPr>
      </w:pPr>
    </w:p>
    <w:p w14:paraId="66E5EEC9" w14:textId="54FF29E8" w:rsidR="0024384D" w:rsidRPr="005E23D7" w:rsidRDefault="00C07925" w:rsidP="005E23D7">
      <w:pPr>
        <w:spacing w:after="0" w:line="240" w:lineRule="auto"/>
        <w:jc w:val="both"/>
        <w:rPr>
          <w:rFonts w:ascii="Times New Roman" w:hAnsi="Times New Roman" w:cs="Times New Roman"/>
          <w:sz w:val="24"/>
          <w:szCs w:val="24"/>
        </w:rPr>
      </w:pPr>
      <w:r w:rsidRPr="005E23D7">
        <w:rPr>
          <w:rFonts w:ascii="Times New Roman" w:eastAsia="Times New Roman" w:hAnsi="Times New Roman" w:cs="Times New Roman"/>
          <w:sz w:val="24"/>
          <w:szCs w:val="24"/>
          <w:lang w:eastAsia="lv-LV"/>
        </w:rPr>
        <w:t xml:space="preserve">Vienlaikus, </w:t>
      </w:r>
      <w:r w:rsidR="0024384D" w:rsidRPr="005E23D7">
        <w:rPr>
          <w:rFonts w:ascii="Times New Roman" w:eastAsia="Times New Roman" w:hAnsi="Times New Roman" w:cs="Times New Roman"/>
          <w:sz w:val="24"/>
          <w:szCs w:val="24"/>
          <w:lang w:eastAsia="lv-LV"/>
        </w:rPr>
        <w:t xml:space="preserve">lai palīdzētu Latvijas uzņēmumiem atrast jaunus eksporta tirgus un pārorientētu savu darbību, </w:t>
      </w:r>
      <w:r w:rsidRPr="005E23D7">
        <w:rPr>
          <w:rFonts w:ascii="Times New Roman" w:eastAsia="Times New Roman" w:hAnsi="Times New Roman" w:cs="Times New Roman"/>
          <w:sz w:val="24"/>
          <w:szCs w:val="24"/>
          <w:lang w:eastAsia="lv-LV"/>
        </w:rPr>
        <w:t xml:space="preserve">LIAA ir sniegusi vairāk kā 1200 konsultācijas uzņēmumiem </w:t>
      </w:r>
      <w:r w:rsidR="0024384D" w:rsidRPr="005E23D7">
        <w:rPr>
          <w:rFonts w:ascii="Times New Roman" w:eastAsia="Times New Roman" w:hAnsi="Times New Roman" w:cs="Times New Roman"/>
          <w:sz w:val="24"/>
          <w:szCs w:val="24"/>
          <w:lang w:eastAsia="lv-LV"/>
        </w:rPr>
        <w:t>par ārējiem tirgiem, identificējusi un nodevusi uzņēmumiem 430 eksporta projektus un pieprasījumus, no tiem gandrīz 40 RIS 3 jomās. Tāpat ir o</w:t>
      </w:r>
      <w:r w:rsidR="0024384D" w:rsidRPr="005E23D7">
        <w:rPr>
          <w:rFonts w:ascii="Times New Roman" w:hAnsi="Times New Roman" w:cs="Times New Roman"/>
          <w:sz w:val="24"/>
          <w:szCs w:val="24"/>
        </w:rPr>
        <w:t xml:space="preserve">rganizēta uzņēmumu  dalība 23 nacionālajos stendos (160 dalībnieki), noslēgti 82 līgumi vai nodoma protokoli, organizētas 14 tirdzniecības misijas / </w:t>
      </w:r>
      <w:proofErr w:type="spellStart"/>
      <w:r w:rsidR="0024384D" w:rsidRPr="005E23D7">
        <w:rPr>
          <w:rFonts w:ascii="Times New Roman" w:hAnsi="Times New Roman" w:cs="Times New Roman"/>
          <w:sz w:val="24"/>
          <w:szCs w:val="24"/>
        </w:rPr>
        <w:t>kontaktbiržas</w:t>
      </w:r>
      <w:proofErr w:type="spellEnd"/>
      <w:r w:rsidR="0024384D" w:rsidRPr="005E23D7">
        <w:rPr>
          <w:rFonts w:ascii="Times New Roman" w:hAnsi="Times New Roman" w:cs="Times New Roman"/>
          <w:sz w:val="24"/>
          <w:szCs w:val="24"/>
        </w:rPr>
        <w:t xml:space="preserve"> ārvalstīs  (120 dalībnieki), noslēgti 27 līgumi vai nodoma protokoli. Ņemot vērā nacionālo stendu pievilcību komersantu vidū, arī nākošajā gadā plānots organizēt aptuveni 40 nacionālos stendus starptautiskās izstādēs. </w:t>
      </w:r>
    </w:p>
    <w:p w14:paraId="0A652F5C" w14:textId="1E068843" w:rsidR="0005097A" w:rsidRPr="005E23D7" w:rsidRDefault="0005097A" w:rsidP="005E23D7">
      <w:pPr>
        <w:spacing w:after="0" w:line="240" w:lineRule="auto"/>
        <w:jc w:val="both"/>
        <w:rPr>
          <w:rFonts w:ascii="Times New Roman" w:eastAsia="Times New Roman" w:hAnsi="Times New Roman" w:cs="Times New Roman"/>
          <w:sz w:val="24"/>
          <w:szCs w:val="24"/>
        </w:rPr>
      </w:pPr>
    </w:p>
    <w:p w14:paraId="799A7E33" w14:textId="0A382D25" w:rsidR="001E71EC" w:rsidRPr="005E23D7" w:rsidRDefault="001E71EC" w:rsidP="005E23D7">
      <w:pPr>
        <w:spacing w:after="0" w:line="240" w:lineRule="auto"/>
        <w:jc w:val="both"/>
        <w:rPr>
          <w:rFonts w:ascii="Times New Roman" w:hAnsi="Times New Roman" w:cs="Times New Roman"/>
          <w:bCs/>
          <w:sz w:val="24"/>
          <w:szCs w:val="24"/>
        </w:rPr>
      </w:pPr>
      <w:r w:rsidRPr="005E23D7">
        <w:rPr>
          <w:rFonts w:ascii="Times New Roman" w:hAnsi="Times New Roman" w:cs="Times New Roman"/>
          <w:sz w:val="24"/>
          <w:szCs w:val="24"/>
        </w:rPr>
        <w:t xml:space="preserve">Šogad tika apstiprināta jauna valsts </w:t>
      </w:r>
      <w:r w:rsidRPr="005E23D7">
        <w:rPr>
          <w:rFonts w:ascii="Times New Roman" w:hAnsi="Times New Roman" w:cs="Times New Roman"/>
          <w:sz w:val="24"/>
          <w:szCs w:val="24"/>
          <w:u w:val="single"/>
        </w:rPr>
        <w:t>atbalsta programma ārvalstu filmu uzņemšanai Latvijā</w:t>
      </w:r>
      <w:r w:rsidRPr="005E23D7">
        <w:rPr>
          <w:rFonts w:ascii="Times New Roman" w:hAnsi="Times New Roman" w:cs="Times New Roman"/>
          <w:sz w:val="24"/>
          <w:szCs w:val="24"/>
        </w:rPr>
        <w:t xml:space="preserve">, piešķirot šim mērķim valsts budžeta finansējumu gandrīz 3 </w:t>
      </w:r>
      <w:proofErr w:type="spellStart"/>
      <w:r w:rsidRPr="005E23D7">
        <w:rPr>
          <w:rFonts w:ascii="Times New Roman" w:hAnsi="Times New Roman" w:cs="Times New Roman"/>
          <w:sz w:val="24"/>
          <w:szCs w:val="24"/>
        </w:rPr>
        <w:t>milj.</w:t>
      </w:r>
      <w:r w:rsidR="0041288D" w:rsidRPr="005E23D7">
        <w:rPr>
          <w:rFonts w:ascii="Times New Roman" w:hAnsi="Times New Roman" w:cs="Times New Roman"/>
          <w:sz w:val="24"/>
          <w:szCs w:val="24"/>
        </w:rPr>
        <w:t>EUR</w:t>
      </w:r>
      <w:proofErr w:type="spellEnd"/>
      <w:r w:rsidRPr="005E23D7">
        <w:rPr>
          <w:rFonts w:ascii="Times New Roman" w:hAnsi="Times New Roman" w:cs="Times New Roman"/>
          <w:sz w:val="24"/>
          <w:szCs w:val="24"/>
        </w:rPr>
        <w:t xml:space="preserve"> apmērā. Kino nozares sniegtie pakalpojumi būtiski stimulē valsts ekonomikas attīstību un atpazīstamību</w:t>
      </w:r>
      <w:r w:rsidR="0041288D" w:rsidRPr="005E23D7">
        <w:rPr>
          <w:rFonts w:ascii="Times New Roman" w:hAnsi="Times New Roman" w:cs="Times New Roman"/>
          <w:sz w:val="24"/>
          <w:szCs w:val="24"/>
        </w:rPr>
        <w:t>, jo e</w:t>
      </w:r>
      <w:r w:rsidRPr="005E23D7">
        <w:rPr>
          <w:rFonts w:ascii="Times New Roman" w:hAnsi="Times New Roman" w:cs="Times New Roman"/>
          <w:sz w:val="24"/>
          <w:szCs w:val="24"/>
        </w:rPr>
        <w:t>fektīvi tiek veicināta nodarbinātība dažādos, arī ar filmu nozari tieši nesaistītos tautsaimniecības sektoros</w:t>
      </w:r>
      <w:r w:rsidRPr="005E23D7">
        <w:rPr>
          <w:rFonts w:ascii="Times New Roman" w:hAnsi="Times New Roman" w:cs="Times New Roman"/>
          <w:bCs/>
          <w:sz w:val="24"/>
          <w:szCs w:val="24"/>
        </w:rPr>
        <w:t>. A</w:t>
      </w:r>
      <w:r w:rsidRPr="005E23D7">
        <w:rPr>
          <w:rFonts w:ascii="Times New Roman" w:hAnsi="Times New Roman" w:cs="Times New Roman"/>
          <w:bCs/>
          <w:sz w:val="24"/>
          <w:szCs w:val="24"/>
          <w:shd w:val="clear" w:color="auto" w:fill="FFFFFF"/>
        </w:rPr>
        <w:t>r piešķirto finansējumu tiks īstenoti desmit Latvijas un Nīderlandes, Somijas, Itālijas, Norvēģijas, Austrijas, Francijas, Lielbritānijas, Polijas producentu apvienību kino projekti.</w:t>
      </w:r>
    </w:p>
    <w:p w14:paraId="36E853A7" w14:textId="77777777" w:rsidR="00152EDA" w:rsidRPr="005E23D7" w:rsidRDefault="00152EDA" w:rsidP="005E23D7">
      <w:pPr>
        <w:spacing w:after="0" w:line="240" w:lineRule="auto"/>
        <w:jc w:val="both"/>
        <w:rPr>
          <w:rFonts w:ascii="Times New Roman" w:hAnsi="Times New Roman" w:cs="Times New Roman"/>
          <w:sz w:val="24"/>
          <w:szCs w:val="24"/>
        </w:rPr>
      </w:pPr>
    </w:p>
    <w:p w14:paraId="09DE0184" w14:textId="78F025C1" w:rsidR="000E51A8" w:rsidRPr="005E23D7" w:rsidRDefault="000E51A8" w:rsidP="005E23D7">
      <w:pPr>
        <w:spacing w:after="0" w:line="240" w:lineRule="auto"/>
        <w:ind w:right="-58"/>
        <w:jc w:val="both"/>
        <w:rPr>
          <w:rFonts w:ascii="Times New Roman" w:hAnsi="Times New Roman" w:cs="Times New Roman"/>
          <w:sz w:val="24"/>
          <w:szCs w:val="24"/>
        </w:rPr>
      </w:pPr>
      <w:r w:rsidRPr="005E23D7">
        <w:rPr>
          <w:rFonts w:ascii="Times New Roman" w:hAnsi="Times New Roman" w:cs="Times New Roman"/>
          <w:sz w:val="24"/>
          <w:szCs w:val="24"/>
        </w:rPr>
        <w:t>Sakārtots normatīvais regulējums kompleksu un saistītu tūrisma pakalpojum</w:t>
      </w:r>
      <w:r w:rsidR="005F3444" w:rsidRPr="005E23D7">
        <w:rPr>
          <w:rFonts w:ascii="Times New Roman" w:hAnsi="Times New Roman" w:cs="Times New Roman"/>
          <w:sz w:val="24"/>
          <w:szCs w:val="24"/>
        </w:rPr>
        <w:t>u</w:t>
      </w:r>
      <w:r w:rsidRPr="005E23D7">
        <w:rPr>
          <w:rFonts w:ascii="Times New Roman" w:hAnsi="Times New Roman" w:cs="Times New Roman"/>
          <w:sz w:val="24"/>
          <w:szCs w:val="24"/>
        </w:rPr>
        <w:t xml:space="preserve"> sniegšanu, tūrisma pakalpojumu sniedzēju un ceļotāju tiesībām un pienākumiem</w:t>
      </w:r>
      <w:r w:rsidR="00B01ECB" w:rsidRPr="005E23D7">
        <w:rPr>
          <w:rFonts w:ascii="Times New Roman" w:hAnsi="Times New Roman" w:cs="Times New Roman"/>
          <w:sz w:val="24"/>
          <w:szCs w:val="24"/>
        </w:rPr>
        <w:t>.</w:t>
      </w:r>
    </w:p>
    <w:p w14:paraId="2FE5682E" w14:textId="77777777" w:rsidR="005F3444" w:rsidRPr="005E23D7" w:rsidRDefault="005F3444" w:rsidP="005E23D7">
      <w:pPr>
        <w:spacing w:after="0" w:line="240" w:lineRule="auto"/>
        <w:ind w:right="-58"/>
        <w:jc w:val="both"/>
        <w:rPr>
          <w:rFonts w:ascii="Times New Roman" w:hAnsi="Times New Roman" w:cs="Times New Roman"/>
          <w:sz w:val="24"/>
          <w:szCs w:val="24"/>
        </w:rPr>
      </w:pPr>
    </w:p>
    <w:p w14:paraId="24ECE23F" w14:textId="0EDA8B59" w:rsidR="000E51A8" w:rsidRPr="005E23D7" w:rsidRDefault="00B01ECB" w:rsidP="005E23D7">
      <w:pPr>
        <w:spacing w:after="0" w:line="240" w:lineRule="auto"/>
        <w:jc w:val="both"/>
        <w:rPr>
          <w:rFonts w:ascii="Times New Roman" w:eastAsia="Segoe UI" w:hAnsi="Times New Roman" w:cs="Times New Roman"/>
          <w:sz w:val="24"/>
          <w:szCs w:val="24"/>
        </w:rPr>
      </w:pPr>
      <w:r w:rsidRPr="005E23D7">
        <w:rPr>
          <w:rFonts w:ascii="Times New Roman" w:hAnsi="Times New Roman" w:cs="Times New Roman"/>
          <w:sz w:val="24"/>
          <w:szCs w:val="24"/>
        </w:rPr>
        <w:lastRenderedPageBreak/>
        <w:t>Apstiprināta</w:t>
      </w:r>
      <w:r w:rsidR="000E51A8" w:rsidRPr="005E23D7">
        <w:rPr>
          <w:rFonts w:ascii="Times New Roman" w:hAnsi="Times New Roman" w:cs="Times New Roman"/>
          <w:sz w:val="24"/>
          <w:szCs w:val="24"/>
        </w:rPr>
        <w:t xml:space="preserve"> Latvijas dalība </w:t>
      </w:r>
      <w:r w:rsidRPr="005E23D7">
        <w:rPr>
          <w:rFonts w:ascii="Times New Roman" w:hAnsi="Times New Roman" w:cs="Times New Roman"/>
          <w:sz w:val="24"/>
          <w:szCs w:val="24"/>
        </w:rPr>
        <w:t xml:space="preserve">izstādē </w:t>
      </w:r>
      <w:r w:rsidR="000E51A8" w:rsidRPr="005E23D7">
        <w:rPr>
          <w:rFonts w:ascii="Times New Roman" w:hAnsi="Times New Roman" w:cs="Times New Roman"/>
          <w:sz w:val="24"/>
          <w:szCs w:val="24"/>
        </w:rPr>
        <w:t>Expo 2025 Osaka</w:t>
      </w:r>
      <w:r w:rsidRPr="005E23D7">
        <w:rPr>
          <w:rFonts w:ascii="Times New Roman" w:hAnsi="Times New Roman" w:cs="Times New Roman"/>
          <w:sz w:val="24"/>
          <w:szCs w:val="24"/>
        </w:rPr>
        <w:t xml:space="preserve">, kas </w:t>
      </w:r>
      <w:r w:rsidRPr="005E23D7">
        <w:rPr>
          <w:rFonts w:ascii="Times New Roman" w:eastAsia="Segoe UI" w:hAnsi="Times New Roman" w:cs="Times New Roman"/>
          <w:sz w:val="24"/>
          <w:szCs w:val="24"/>
        </w:rPr>
        <w:t>no 2025. gada 13. aprīlim līdz 13. oktobrim norisināsies Japānas pilsētā Osaka.</w:t>
      </w:r>
    </w:p>
    <w:p w14:paraId="7120989D" w14:textId="77777777" w:rsidR="005F3444" w:rsidRPr="005E23D7" w:rsidRDefault="005F3444" w:rsidP="005E23D7">
      <w:pPr>
        <w:spacing w:after="0" w:line="240" w:lineRule="auto"/>
        <w:jc w:val="both"/>
        <w:rPr>
          <w:rFonts w:ascii="Times New Roman" w:hAnsi="Times New Roman" w:cs="Times New Roman"/>
          <w:sz w:val="24"/>
          <w:szCs w:val="24"/>
        </w:rPr>
      </w:pPr>
    </w:p>
    <w:p w14:paraId="2EB054B1" w14:textId="77777777" w:rsidR="000E51A8" w:rsidRPr="005E23D7" w:rsidRDefault="00B01ECB" w:rsidP="005E23D7">
      <w:pPr>
        <w:spacing w:after="0" w:line="240" w:lineRule="auto"/>
        <w:jc w:val="both"/>
        <w:rPr>
          <w:rFonts w:ascii="Times New Roman" w:eastAsia="Arial" w:hAnsi="Times New Roman" w:cs="Times New Roman"/>
          <w:bCs/>
          <w:sz w:val="24"/>
          <w:szCs w:val="24"/>
        </w:rPr>
      </w:pPr>
      <w:r w:rsidRPr="005E23D7">
        <w:rPr>
          <w:rFonts w:ascii="Times New Roman" w:eastAsia="Arial" w:hAnsi="Times New Roman" w:cs="Times New Roman"/>
          <w:bCs/>
          <w:sz w:val="24"/>
          <w:szCs w:val="24"/>
        </w:rPr>
        <w:t xml:space="preserve">Parakstīts </w:t>
      </w:r>
      <w:r w:rsidRPr="005E23D7">
        <w:rPr>
          <w:rFonts w:ascii="Times New Roman" w:eastAsia="Arial" w:hAnsi="Times New Roman" w:cs="Times New Roman"/>
          <w:bCs/>
          <w:sz w:val="24"/>
          <w:szCs w:val="24"/>
          <w:u w:val="single"/>
        </w:rPr>
        <w:t>sadarbības memorands ar tehnoloģiju uzņēmumu Google</w:t>
      </w:r>
      <w:r w:rsidRPr="005E23D7">
        <w:rPr>
          <w:rFonts w:ascii="Times New Roman" w:eastAsia="Arial" w:hAnsi="Times New Roman" w:cs="Times New Roman"/>
          <w:bCs/>
          <w:sz w:val="24"/>
          <w:szCs w:val="24"/>
        </w:rPr>
        <w:t>, kura ietvaros vismaz 3000 Latvijas mazajiem un vidējiem uzņēmumiem bez maksas nodrošinātas apmācības programm</w:t>
      </w:r>
      <w:r w:rsidR="00152EDA" w:rsidRPr="005E23D7">
        <w:rPr>
          <w:rFonts w:ascii="Times New Roman" w:eastAsia="Arial" w:hAnsi="Times New Roman" w:cs="Times New Roman"/>
          <w:bCs/>
          <w:sz w:val="24"/>
          <w:szCs w:val="24"/>
        </w:rPr>
        <w:t>as</w:t>
      </w:r>
      <w:r w:rsidRPr="005E23D7">
        <w:rPr>
          <w:rFonts w:ascii="Times New Roman" w:eastAsia="Arial" w:hAnsi="Times New Roman" w:cs="Times New Roman"/>
          <w:bCs/>
          <w:sz w:val="24"/>
          <w:szCs w:val="24"/>
        </w:rPr>
        <w:t xml:space="preserve">  “Izaugsme ar Google”</w:t>
      </w:r>
      <w:r w:rsidR="00152EDA" w:rsidRPr="005E23D7">
        <w:rPr>
          <w:rFonts w:ascii="Times New Roman" w:eastAsia="Arial" w:hAnsi="Times New Roman" w:cs="Times New Roman"/>
          <w:bCs/>
          <w:sz w:val="24"/>
          <w:szCs w:val="24"/>
        </w:rPr>
        <w:t xml:space="preserve"> ietvaros. Apmācību</w:t>
      </w:r>
      <w:r w:rsidRPr="005E23D7">
        <w:rPr>
          <w:rFonts w:ascii="Times New Roman" w:eastAsia="Arial" w:hAnsi="Times New Roman" w:cs="Times New Roman"/>
          <w:bCs/>
          <w:sz w:val="24"/>
          <w:szCs w:val="24"/>
        </w:rPr>
        <w:t xml:space="preserve"> mērķis ir veicināt Latvijas uzņēmumu digitālo attīstību</w:t>
      </w:r>
      <w:r w:rsidR="00152EDA" w:rsidRPr="005E23D7">
        <w:rPr>
          <w:rFonts w:ascii="Times New Roman" w:eastAsia="Arial" w:hAnsi="Times New Roman" w:cs="Times New Roman"/>
          <w:bCs/>
          <w:sz w:val="24"/>
          <w:szCs w:val="24"/>
        </w:rPr>
        <w:t>, paplašinot viņu zināšanas un prasmes tādās jomās kā e-komercija, eksports, digitālais mārketings un tehnoloģiju integrācija uzņēmējdarbībā.</w:t>
      </w:r>
      <w:r w:rsidRPr="005E23D7">
        <w:rPr>
          <w:rFonts w:ascii="Times New Roman" w:eastAsia="Arial" w:hAnsi="Times New Roman" w:cs="Times New Roman"/>
          <w:bCs/>
          <w:sz w:val="24"/>
          <w:szCs w:val="24"/>
        </w:rPr>
        <w:t xml:space="preserve"> </w:t>
      </w:r>
    </w:p>
    <w:p w14:paraId="218FFDEC" w14:textId="0A8BC396" w:rsidR="0027768B" w:rsidRPr="005E23D7" w:rsidRDefault="0027768B" w:rsidP="005E23D7">
      <w:pPr>
        <w:shd w:val="clear" w:color="auto" w:fill="FFFFFF"/>
        <w:spacing w:after="0" w:line="240" w:lineRule="auto"/>
        <w:jc w:val="both"/>
        <w:rPr>
          <w:rFonts w:ascii="Times New Roman" w:eastAsia="Times New Roman" w:hAnsi="Times New Roman" w:cs="Times New Roman"/>
          <w:color w:val="212529"/>
          <w:sz w:val="24"/>
          <w:szCs w:val="24"/>
          <w:lang w:eastAsia="lv-LV"/>
        </w:rPr>
      </w:pPr>
    </w:p>
    <w:p w14:paraId="51AEDD2B" w14:textId="7A5981F3" w:rsidR="0027768B" w:rsidRPr="005E23D7" w:rsidRDefault="0027768B" w:rsidP="005E23D7">
      <w:pPr>
        <w:shd w:val="clear" w:color="auto" w:fill="FFFFFF"/>
        <w:spacing w:after="0" w:line="240" w:lineRule="auto"/>
        <w:jc w:val="both"/>
        <w:rPr>
          <w:rFonts w:ascii="Times New Roman" w:eastAsia="Times New Roman" w:hAnsi="Times New Roman" w:cs="Times New Roman"/>
          <w:b/>
          <w:bCs/>
          <w:color w:val="212529"/>
          <w:sz w:val="24"/>
          <w:szCs w:val="24"/>
          <w:lang w:eastAsia="lv-LV"/>
        </w:rPr>
      </w:pPr>
      <w:r w:rsidRPr="005E23D7">
        <w:rPr>
          <w:rFonts w:ascii="Times New Roman" w:eastAsia="Times New Roman" w:hAnsi="Times New Roman" w:cs="Times New Roman"/>
          <w:b/>
          <w:bCs/>
          <w:color w:val="212529"/>
          <w:sz w:val="24"/>
          <w:szCs w:val="24"/>
          <w:lang w:eastAsia="lv-LV"/>
        </w:rPr>
        <w:t>Mājokļu pieejamība</w:t>
      </w:r>
    </w:p>
    <w:p w14:paraId="10827B14" w14:textId="77777777" w:rsidR="005E23D7" w:rsidRDefault="005E23D7" w:rsidP="005E23D7">
      <w:pPr>
        <w:shd w:val="clear" w:color="auto" w:fill="FFFFFF"/>
        <w:spacing w:after="0" w:line="240" w:lineRule="auto"/>
        <w:jc w:val="both"/>
        <w:rPr>
          <w:rFonts w:ascii="Times New Roman" w:eastAsia="Times New Roman" w:hAnsi="Times New Roman" w:cs="Times New Roman"/>
          <w:color w:val="212529"/>
          <w:sz w:val="24"/>
          <w:szCs w:val="24"/>
          <w:lang w:eastAsia="lv-LV"/>
        </w:rPr>
      </w:pPr>
    </w:p>
    <w:p w14:paraId="6BFE4750" w14:textId="20F27515" w:rsidR="00DC63B3" w:rsidRPr="005E23D7" w:rsidRDefault="00DC63B3" w:rsidP="005E23D7">
      <w:pPr>
        <w:shd w:val="clear" w:color="auto" w:fill="FFFFFF"/>
        <w:spacing w:after="0" w:line="240" w:lineRule="auto"/>
        <w:jc w:val="both"/>
        <w:rPr>
          <w:rFonts w:ascii="Times New Roman" w:eastAsia="Times New Roman" w:hAnsi="Times New Roman" w:cs="Times New Roman"/>
          <w:color w:val="212529"/>
          <w:sz w:val="24"/>
          <w:szCs w:val="24"/>
          <w:lang w:eastAsia="lv-LV"/>
        </w:rPr>
      </w:pPr>
      <w:r w:rsidRPr="005E23D7">
        <w:rPr>
          <w:rFonts w:ascii="Times New Roman" w:eastAsia="Times New Roman" w:hAnsi="Times New Roman" w:cs="Times New Roman"/>
          <w:color w:val="212529"/>
          <w:sz w:val="24"/>
          <w:szCs w:val="24"/>
          <w:lang w:eastAsia="lv-LV"/>
        </w:rPr>
        <w:t xml:space="preserve">Lai veicinātu cenas ziņā pieejamu īres mājokļu piedāvājumu reģionos un tādējādi celtu </w:t>
      </w:r>
      <w:r w:rsidR="006E60A4" w:rsidRPr="005E23D7">
        <w:rPr>
          <w:rFonts w:ascii="Times New Roman" w:eastAsia="Times New Roman" w:hAnsi="Times New Roman" w:cs="Times New Roman"/>
          <w:color w:val="212529"/>
          <w:sz w:val="24"/>
          <w:szCs w:val="24"/>
          <w:lang w:eastAsia="lv-LV"/>
        </w:rPr>
        <w:t xml:space="preserve">reģionu </w:t>
      </w:r>
      <w:r w:rsidRPr="005E23D7">
        <w:rPr>
          <w:rFonts w:ascii="Times New Roman" w:eastAsia="Times New Roman" w:hAnsi="Times New Roman" w:cs="Times New Roman"/>
          <w:color w:val="212529"/>
          <w:sz w:val="24"/>
          <w:szCs w:val="24"/>
          <w:lang w:eastAsia="lv-LV"/>
        </w:rPr>
        <w:t xml:space="preserve">ekonomisko aktivitāti, izstrādāta </w:t>
      </w:r>
      <w:r w:rsidRPr="005E23D7">
        <w:rPr>
          <w:rFonts w:ascii="Times New Roman" w:eastAsia="Times New Roman" w:hAnsi="Times New Roman" w:cs="Times New Roman"/>
          <w:color w:val="212529"/>
          <w:sz w:val="24"/>
          <w:szCs w:val="24"/>
          <w:u w:val="single"/>
          <w:lang w:eastAsia="lv-LV"/>
        </w:rPr>
        <w:t>atbalsta programma zemu īres izmaksu namu būvniecībai.</w:t>
      </w:r>
      <w:r w:rsidRPr="005E23D7">
        <w:rPr>
          <w:rFonts w:ascii="Times New Roman" w:eastAsia="Times New Roman" w:hAnsi="Times New Roman" w:cs="Times New Roman"/>
          <w:color w:val="212529"/>
          <w:sz w:val="24"/>
          <w:szCs w:val="24"/>
          <w:lang w:eastAsia="lv-LV"/>
        </w:rPr>
        <w:t xml:space="preserve"> Tās ietvaros no 22. novembra ALTUM </w:t>
      </w:r>
      <w:r w:rsidR="006E60A4" w:rsidRPr="005E23D7">
        <w:rPr>
          <w:rFonts w:ascii="Times New Roman" w:eastAsia="Times New Roman" w:hAnsi="Times New Roman" w:cs="Times New Roman"/>
          <w:color w:val="212529"/>
          <w:sz w:val="24"/>
          <w:szCs w:val="24"/>
          <w:lang w:eastAsia="lv-LV"/>
        </w:rPr>
        <w:t>pieejami</w:t>
      </w:r>
      <w:r w:rsidRPr="005E23D7">
        <w:rPr>
          <w:rFonts w:ascii="Times New Roman" w:eastAsia="Times New Roman" w:hAnsi="Times New Roman" w:cs="Times New Roman"/>
          <w:color w:val="212529"/>
          <w:sz w:val="24"/>
          <w:szCs w:val="24"/>
          <w:lang w:eastAsia="lv-LV"/>
        </w:rPr>
        <w:t xml:space="preserve"> aizdevum</w:t>
      </w:r>
      <w:r w:rsidR="006E60A4" w:rsidRPr="005E23D7">
        <w:rPr>
          <w:rFonts w:ascii="Times New Roman" w:eastAsia="Times New Roman" w:hAnsi="Times New Roman" w:cs="Times New Roman"/>
          <w:color w:val="212529"/>
          <w:sz w:val="24"/>
          <w:szCs w:val="24"/>
          <w:lang w:eastAsia="lv-LV"/>
        </w:rPr>
        <w:t>i</w:t>
      </w:r>
      <w:r w:rsidRPr="005E23D7">
        <w:rPr>
          <w:rFonts w:ascii="Times New Roman" w:eastAsia="Times New Roman" w:hAnsi="Times New Roman" w:cs="Times New Roman"/>
          <w:color w:val="212529"/>
          <w:sz w:val="24"/>
          <w:szCs w:val="24"/>
          <w:lang w:eastAsia="lv-LV"/>
        </w:rPr>
        <w:t xml:space="preserve"> nekustamā īpašuma attīstītājiem, kas vēlas ārpus Rīgas un Pierīgas būvēt īres namus iedzīvotājiem, kas nekvalificējas sociālo dzīvokļu saņemšanai, taču vienlaikus nespēj ņemt hipotekāros kredītus.</w:t>
      </w:r>
    </w:p>
    <w:p w14:paraId="51E05271" w14:textId="77777777" w:rsidR="006E60A4" w:rsidRPr="005E23D7" w:rsidRDefault="006E60A4" w:rsidP="005E23D7">
      <w:pPr>
        <w:shd w:val="clear" w:color="auto" w:fill="FFFFFF"/>
        <w:spacing w:after="0" w:line="240" w:lineRule="auto"/>
        <w:jc w:val="both"/>
        <w:rPr>
          <w:rFonts w:ascii="Times New Roman" w:eastAsia="Times New Roman" w:hAnsi="Times New Roman" w:cs="Times New Roman"/>
          <w:color w:val="212529"/>
          <w:sz w:val="24"/>
          <w:szCs w:val="24"/>
          <w:lang w:eastAsia="lv-LV"/>
        </w:rPr>
      </w:pPr>
    </w:p>
    <w:p w14:paraId="562DF5EB" w14:textId="09518017" w:rsidR="00BF26D0" w:rsidRPr="005E23D7" w:rsidRDefault="00881C97" w:rsidP="005E23D7">
      <w:pPr>
        <w:spacing w:after="0" w:line="240" w:lineRule="auto"/>
        <w:jc w:val="both"/>
        <w:rPr>
          <w:rFonts w:ascii="Times New Roman" w:hAnsi="Times New Roman" w:cs="Times New Roman"/>
          <w:sz w:val="24"/>
          <w:szCs w:val="24"/>
        </w:rPr>
      </w:pPr>
      <w:r w:rsidRPr="005E23D7">
        <w:rPr>
          <w:rFonts w:ascii="Times New Roman" w:hAnsi="Times New Roman" w:cs="Times New Roman"/>
          <w:sz w:val="24"/>
          <w:szCs w:val="24"/>
        </w:rPr>
        <w:t>2022. gadā turpinā</w:t>
      </w:r>
      <w:r w:rsidR="005D3B7B" w:rsidRPr="005E23D7">
        <w:rPr>
          <w:rFonts w:ascii="Times New Roman" w:hAnsi="Times New Roman" w:cs="Times New Roman"/>
          <w:sz w:val="24"/>
          <w:szCs w:val="24"/>
        </w:rPr>
        <w:t>jām</w:t>
      </w:r>
      <w:r w:rsidRPr="005E23D7">
        <w:rPr>
          <w:rFonts w:ascii="Times New Roman" w:hAnsi="Times New Roman" w:cs="Times New Roman"/>
          <w:sz w:val="24"/>
          <w:szCs w:val="24"/>
        </w:rPr>
        <w:t xml:space="preserve"> sniegt arī </w:t>
      </w:r>
      <w:r w:rsidRPr="005E23D7">
        <w:rPr>
          <w:rFonts w:ascii="Times New Roman" w:hAnsi="Times New Roman" w:cs="Times New Roman"/>
          <w:sz w:val="24"/>
          <w:szCs w:val="24"/>
          <w:u w:val="single"/>
        </w:rPr>
        <w:t xml:space="preserve">atbalstu </w:t>
      </w:r>
      <w:r w:rsidR="00BF26D0" w:rsidRPr="005E23D7">
        <w:rPr>
          <w:rFonts w:ascii="Times New Roman" w:hAnsi="Times New Roman" w:cs="Times New Roman"/>
          <w:sz w:val="24"/>
          <w:szCs w:val="24"/>
          <w:u w:val="single"/>
        </w:rPr>
        <w:t>ģimenēm ar bērniem un jaunajiem speciālistiem.</w:t>
      </w:r>
      <w:r w:rsidR="00BF26D0" w:rsidRPr="005E23D7">
        <w:rPr>
          <w:rFonts w:ascii="Times New Roman" w:hAnsi="Times New Roman" w:cs="Times New Roman"/>
          <w:sz w:val="24"/>
          <w:szCs w:val="24"/>
        </w:rPr>
        <w:t xml:space="preserve"> </w:t>
      </w:r>
      <w:r w:rsidR="00C314A1" w:rsidRPr="005E23D7">
        <w:rPr>
          <w:rFonts w:ascii="Times New Roman" w:hAnsi="Times New Roman" w:cs="Times New Roman"/>
          <w:sz w:val="24"/>
          <w:szCs w:val="24"/>
        </w:rPr>
        <w:t>Programmas “Balsts” ietvaros izsniegtas 399 subsīdijas 3</w:t>
      </w:r>
      <w:r w:rsidR="005D3B7B" w:rsidRPr="005E23D7">
        <w:rPr>
          <w:rFonts w:ascii="Times New Roman" w:hAnsi="Times New Roman" w:cs="Times New Roman"/>
          <w:sz w:val="24"/>
          <w:szCs w:val="24"/>
        </w:rPr>
        <w:t> </w:t>
      </w:r>
      <w:r w:rsidR="00C314A1" w:rsidRPr="005E23D7">
        <w:rPr>
          <w:rFonts w:ascii="Times New Roman" w:hAnsi="Times New Roman" w:cs="Times New Roman"/>
          <w:sz w:val="24"/>
          <w:szCs w:val="24"/>
        </w:rPr>
        <w:t>352</w:t>
      </w:r>
      <w:r w:rsidR="005D3B7B" w:rsidRPr="005E23D7">
        <w:rPr>
          <w:rFonts w:ascii="Times New Roman" w:hAnsi="Times New Roman" w:cs="Times New Roman"/>
          <w:sz w:val="24"/>
          <w:szCs w:val="24"/>
        </w:rPr>
        <w:t xml:space="preserve"> </w:t>
      </w:r>
      <w:r w:rsidR="00C314A1" w:rsidRPr="005E23D7">
        <w:rPr>
          <w:rFonts w:ascii="Times New Roman" w:hAnsi="Times New Roman" w:cs="Times New Roman"/>
          <w:sz w:val="24"/>
          <w:szCs w:val="24"/>
        </w:rPr>
        <w:t xml:space="preserve">000 EUR apmērā. Savukārt </w:t>
      </w:r>
      <w:r w:rsidR="00BF26D0" w:rsidRPr="005E23D7">
        <w:rPr>
          <w:rFonts w:ascii="Times New Roman" w:hAnsi="Times New Roman" w:cs="Times New Roman"/>
          <w:sz w:val="24"/>
          <w:szCs w:val="24"/>
        </w:rPr>
        <w:t xml:space="preserve">Mājokļa garantijas izsniegtas </w:t>
      </w:r>
      <w:r w:rsidR="00C314A1" w:rsidRPr="005E23D7">
        <w:rPr>
          <w:rFonts w:ascii="Times New Roman" w:hAnsi="Times New Roman" w:cs="Times New Roman"/>
          <w:sz w:val="24"/>
          <w:szCs w:val="24"/>
        </w:rPr>
        <w:t>3</w:t>
      </w:r>
      <w:r w:rsidR="005D3B7B" w:rsidRPr="005E23D7">
        <w:rPr>
          <w:rFonts w:ascii="Times New Roman" w:hAnsi="Times New Roman" w:cs="Times New Roman"/>
          <w:sz w:val="24"/>
          <w:szCs w:val="24"/>
        </w:rPr>
        <w:t xml:space="preserve"> </w:t>
      </w:r>
      <w:r w:rsidR="00C314A1" w:rsidRPr="005E23D7">
        <w:rPr>
          <w:rFonts w:ascii="Times New Roman" w:hAnsi="Times New Roman" w:cs="Times New Roman"/>
          <w:sz w:val="24"/>
          <w:szCs w:val="24"/>
        </w:rPr>
        <w:t xml:space="preserve">289 </w:t>
      </w:r>
      <w:r w:rsidR="00BF26D0" w:rsidRPr="005E23D7">
        <w:rPr>
          <w:rFonts w:ascii="Times New Roman" w:hAnsi="Times New Roman" w:cs="Times New Roman"/>
          <w:sz w:val="24"/>
          <w:szCs w:val="24"/>
        </w:rPr>
        <w:t>ģimenēm ar bērniem (</w:t>
      </w:r>
      <w:r w:rsidR="00C314A1" w:rsidRPr="005E23D7">
        <w:rPr>
          <w:rFonts w:ascii="Times New Roman" w:hAnsi="Times New Roman" w:cs="Times New Roman"/>
          <w:sz w:val="24"/>
          <w:szCs w:val="24"/>
        </w:rPr>
        <w:t>4</w:t>
      </w:r>
      <w:r w:rsidR="005D3B7B" w:rsidRPr="005E23D7">
        <w:rPr>
          <w:rFonts w:ascii="Times New Roman" w:hAnsi="Times New Roman" w:cs="Times New Roman"/>
          <w:sz w:val="24"/>
          <w:szCs w:val="24"/>
        </w:rPr>
        <w:t xml:space="preserve"> </w:t>
      </w:r>
      <w:r w:rsidR="00C314A1" w:rsidRPr="005E23D7">
        <w:rPr>
          <w:rFonts w:ascii="Times New Roman" w:hAnsi="Times New Roman" w:cs="Times New Roman"/>
          <w:sz w:val="24"/>
          <w:szCs w:val="24"/>
        </w:rPr>
        <w:t>967</w:t>
      </w:r>
      <w:r w:rsidR="00BF26D0" w:rsidRPr="005E23D7">
        <w:rPr>
          <w:rFonts w:ascii="Times New Roman" w:hAnsi="Times New Roman" w:cs="Times New Roman"/>
          <w:sz w:val="24"/>
          <w:szCs w:val="24"/>
        </w:rPr>
        <w:t xml:space="preserve"> bērn</w:t>
      </w:r>
      <w:r w:rsidR="00C314A1" w:rsidRPr="005E23D7">
        <w:rPr>
          <w:rFonts w:ascii="Times New Roman" w:hAnsi="Times New Roman" w:cs="Times New Roman"/>
          <w:sz w:val="24"/>
          <w:szCs w:val="24"/>
        </w:rPr>
        <w:t>i</w:t>
      </w:r>
      <w:r w:rsidR="00BF26D0" w:rsidRPr="005E23D7">
        <w:rPr>
          <w:rFonts w:ascii="Times New Roman" w:hAnsi="Times New Roman" w:cs="Times New Roman"/>
          <w:sz w:val="24"/>
          <w:szCs w:val="24"/>
        </w:rPr>
        <w:t xml:space="preserve">) un </w:t>
      </w:r>
      <w:r w:rsidR="00C314A1" w:rsidRPr="005E23D7">
        <w:rPr>
          <w:rFonts w:ascii="Times New Roman" w:hAnsi="Times New Roman" w:cs="Times New Roman"/>
          <w:sz w:val="24"/>
          <w:szCs w:val="24"/>
        </w:rPr>
        <w:t>967</w:t>
      </w:r>
      <w:r w:rsidR="00BF26D0" w:rsidRPr="005E23D7">
        <w:rPr>
          <w:rFonts w:ascii="Times New Roman" w:hAnsi="Times New Roman" w:cs="Times New Roman"/>
          <w:sz w:val="24"/>
          <w:szCs w:val="24"/>
        </w:rPr>
        <w:t xml:space="preserve"> jaun</w:t>
      </w:r>
      <w:r w:rsidR="00C314A1" w:rsidRPr="005E23D7">
        <w:rPr>
          <w:rFonts w:ascii="Times New Roman" w:hAnsi="Times New Roman" w:cs="Times New Roman"/>
          <w:sz w:val="24"/>
          <w:szCs w:val="24"/>
        </w:rPr>
        <w:t>ajiem</w:t>
      </w:r>
      <w:r w:rsidR="00BF26D0" w:rsidRPr="005E23D7">
        <w:rPr>
          <w:rFonts w:ascii="Times New Roman" w:hAnsi="Times New Roman" w:cs="Times New Roman"/>
          <w:sz w:val="24"/>
          <w:szCs w:val="24"/>
        </w:rPr>
        <w:t xml:space="preserve"> speciālist</w:t>
      </w:r>
      <w:r w:rsidR="00C314A1" w:rsidRPr="005E23D7">
        <w:rPr>
          <w:rFonts w:ascii="Times New Roman" w:hAnsi="Times New Roman" w:cs="Times New Roman"/>
          <w:sz w:val="24"/>
          <w:szCs w:val="24"/>
        </w:rPr>
        <w:t xml:space="preserve">iem. </w:t>
      </w:r>
    </w:p>
    <w:p w14:paraId="16ABAAA1" w14:textId="77777777" w:rsidR="006E60A4" w:rsidRPr="005E23D7" w:rsidRDefault="006E60A4" w:rsidP="005E23D7">
      <w:pPr>
        <w:spacing w:after="0" w:line="240" w:lineRule="auto"/>
        <w:jc w:val="both"/>
        <w:rPr>
          <w:rFonts w:ascii="Times New Roman" w:hAnsi="Times New Roman" w:cs="Times New Roman"/>
          <w:sz w:val="24"/>
          <w:szCs w:val="24"/>
        </w:rPr>
      </w:pPr>
    </w:p>
    <w:p w14:paraId="56E15654" w14:textId="23F23CC5" w:rsidR="005D3B7B" w:rsidRPr="005E23D7" w:rsidRDefault="005D3B7B" w:rsidP="005E23D7">
      <w:pPr>
        <w:spacing w:after="0" w:line="240" w:lineRule="auto"/>
        <w:jc w:val="both"/>
        <w:rPr>
          <w:rFonts w:ascii="Times New Roman" w:hAnsi="Times New Roman" w:cs="Times New Roman"/>
          <w:sz w:val="24"/>
          <w:szCs w:val="24"/>
        </w:rPr>
      </w:pPr>
      <w:r w:rsidRPr="005E23D7">
        <w:rPr>
          <w:rFonts w:ascii="Times New Roman" w:hAnsi="Times New Roman" w:cs="Times New Roman"/>
          <w:sz w:val="24"/>
          <w:szCs w:val="24"/>
        </w:rPr>
        <w:t xml:space="preserve">Šogad turpinājām īstenot </w:t>
      </w:r>
      <w:r w:rsidRPr="005E23D7">
        <w:rPr>
          <w:rFonts w:ascii="Times New Roman" w:hAnsi="Times New Roman" w:cs="Times New Roman"/>
          <w:sz w:val="24"/>
          <w:szCs w:val="24"/>
          <w:u w:val="single"/>
        </w:rPr>
        <w:t>atbalstu iedzīvotājiem Remonta fonda programmas ietvaros</w:t>
      </w:r>
      <w:r w:rsidRPr="005E23D7">
        <w:rPr>
          <w:rFonts w:ascii="Times New Roman" w:hAnsi="Times New Roman" w:cs="Times New Roman"/>
          <w:sz w:val="24"/>
          <w:szCs w:val="24"/>
        </w:rPr>
        <w:t xml:space="preserve">. Valsts aizdevums pieejams būvdarbiem un teritorijas labiekārtošanas darbiem daudzdzīvokļu dzīvojamās mājās, t.sk. mājām, kas atrodas mazāk attīstītos reģionos, nelielās pilsētās vai ciematos, vai tām, kas citu iemeslu dēļ neatbilst komercbanku kreditēšanas politikai. Remonta fonda ietvaros </w:t>
      </w:r>
      <w:proofErr w:type="spellStart"/>
      <w:r w:rsidRPr="005E23D7">
        <w:rPr>
          <w:rFonts w:ascii="Times New Roman" w:hAnsi="Times New Roman" w:cs="Times New Roman"/>
          <w:sz w:val="24"/>
          <w:szCs w:val="24"/>
        </w:rPr>
        <w:t>Altum</w:t>
      </w:r>
      <w:proofErr w:type="spellEnd"/>
      <w:r w:rsidRPr="005E23D7">
        <w:rPr>
          <w:rFonts w:ascii="Times New Roman" w:hAnsi="Times New Roman" w:cs="Times New Roman"/>
          <w:sz w:val="24"/>
          <w:szCs w:val="24"/>
        </w:rPr>
        <w:t xml:space="preserve"> šogad ir piešķīris 4</w:t>
      </w:r>
      <w:r w:rsidR="007F1354" w:rsidRPr="005E23D7">
        <w:rPr>
          <w:rFonts w:ascii="Times New Roman" w:hAnsi="Times New Roman" w:cs="Times New Roman"/>
          <w:sz w:val="24"/>
          <w:szCs w:val="24"/>
        </w:rPr>
        <w:t>8</w:t>
      </w:r>
      <w:r w:rsidRPr="005E23D7">
        <w:rPr>
          <w:rFonts w:ascii="Times New Roman" w:hAnsi="Times New Roman" w:cs="Times New Roman"/>
          <w:sz w:val="24"/>
          <w:szCs w:val="24"/>
        </w:rPr>
        <w:t xml:space="preserve"> aizdevumus 3</w:t>
      </w:r>
      <w:r w:rsidR="007F1354" w:rsidRPr="005E23D7">
        <w:rPr>
          <w:rFonts w:ascii="Times New Roman" w:hAnsi="Times New Roman" w:cs="Times New Roman"/>
          <w:sz w:val="24"/>
          <w:szCs w:val="24"/>
        </w:rPr>
        <w:t>,1</w:t>
      </w:r>
      <w:r w:rsidRPr="005E23D7">
        <w:rPr>
          <w:rFonts w:ascii="Times New Roman" w:hAnsi="Times New Roman" w:cs="Times New Roman"/>
          <w:sz w:val="24"/>
          <w:szCs w:val="24"/>
        </w:rPr>
        <w:t xml:space="preserve"> </w:t>
      </w:r>
      <w:proofErr w:type="spellStart"/>
      <w:r w:rsidRPr="005E23D7">
        <w:rPr>
          <w:rFonts w:ascii="Times New Roman" w:hAnsi="Times New Roman" w:cs="Times New Roman"/>
          <w:sz w:val="24"/>
          <w:szCs w:val="24"/>
        </w:rPr>
        <w:t>milj.EUR</w:t>
      </w:r>
      <w:proofErr w:type="spellEnd"/>
      <w:r w:rsidRPr="005E23D7">
        <w:rPr>
          <w:rFonts w:ascii="Times New Roman" w:hAnsi="Times New Roman" w:cs="Times New Roman"/>
          <w:sz w:val="24"/>
          <w:szCs w:val="24"/>
        </w:rPr>
        <w:t xml:space="preserve"> apmērā. </w:t>
      </w:r>
    </w:p>
    <w:p w14:paraId="52DE3AF7" w14:textId="77777777" w:rsidR="005E23D7" w:rsidRDefault="005E23D7" w:rsidP="005E23D7">
      <w:pPr>
        <w:spacing w:after="0" w:line="240" w:lineRule="auto"/>
        <w:jc w:val="both"/>
        <w:rPr>
          <w:rFonts w:ascii="Times New Roman" w:hAnsi="Times New Roman" w:cs="Times New Roman"/>
          <w:spacing w:val="11"/>
          <w:sz w:val="24"/>
          <w:szCs w:val="24"/>
        </w:rPr>
      </w:pPr>
    </w:p>
    <w:p w14:paraId="18EE4ECB" w14:textId="3288EF6C" w:rsidR="006E60A4" w:rsidRPr="005E23D7" w:rsidRDefault="006E60A4" w:rsidP="005E23D7">
      <w:pPr>
        <w:spacing w:after="0" w:line="240" w:lineRule="auto"/>
        <w:jc w:val="both"/>
        <w:rPr>
          <w:rFonts w:ascii="Times New Roman" w:eastAsia="Times New Roman" w:hAnsi="Times New Roman" w:cs="Times New Roman"/>
          <w:sz w:val="24"/>
          <w:szCs w:val="24"/>
          <w:u w:val="single"/>
        </w:rPr>
      </w:pPr>
      <w:r w:rsidRPr="005E23D7">
        <w:rPr>
          <w:rFonts w:ascii="Times New Roman" w:hAnsi="Times New Roman" w:cs="Times New Roman"/>
          <w:spacing w:val="11"/>
          <w:sz w:val="24"/>
          <w:szCs w:val="24"/>
        </w:rPr>
        <w:t>Savukārt, lai sekmētu efektīvāku daudzdzīvokļu dzīvojamo māju pārvaldīšanu, atvieglotu lēmumu pieņemšanas procedūru un veicinātu ēku energoefektivitāti</w:t>
      </w:r>
      <w:r w:rsidR="005E23D7">
        <w:rPr>
          <w:rFonts w:ascii="Times New Roman" w:hAnsi="Times New Roman" w:cs="Times New Roman"/>
          <w:spacing w:val="11"/>
          <w:sz w:val="24"/>
          <w:szCs w:val="24"/>
        </w:rPr>
        <w:t>,</w:t>
      </w:r>
      <w:r w:rsidRPr="005E23D7">
        <w:rPr>
          <w:rFonts w:ascii="Times New Roman" w:hAnsi="Times New Roman" w:cs="Times New Roman"/>
          <w:spacing w:val="11"/>
          <w:sz w:val="24"/>
          <w:szCs w:val="24"/>
        </w:rPr>
        <w:t xml:space="preserve"> pieņemti </w:t>
      </w:r>
      <w:r w:rsidRPr="005E23D7">
        <w:rPr>
          <w:rFonts w:ascii="Times New Roman" w:hAnsi="Times New Roman" w:cs="Times New Roman"/>
          <w:spacing w:val="11"/>
          <w:sz w:val="24"/>
          <w:szCs w:val="24"/>
          <w:u w:val="single"/>
        </w:rPr>
        <w:t>g</w:t>
      </w:r>
      <w:r w:rsidRPr="005E23D7">
        <w:rPr>
          <w:rFonts w:ascii="Times New Roman" w:eastAsia="Times New Roman" w:hAnsi="Times New Roman" w:cs="Times New Roman"/>
          <w:sz w:val="24"/>
          <w:szCs w:val="24"/>
          <w:u w:val="single"/>
        </w:rPr>
        <w:t xml:space="preserve">rozījumi Dzīvokļu īpašuma likumā un Dzīvojamo māju pārvaldīšanas likumā. </w:t>
      </w:r>
    </w:p>
    <w:p w14:paraId="28D7804C" w14:textId="52BDA5C6" w:rsidR="00881C97" w:rsidRPr="005E23D7" w:rsidRDefault="00881C97" w:rsidP="005E23D7">
      <w:pPr>
        <w:spacing w:after="0" w:line="240" w:lineRule="auto"/>
        <w:jc w:val="both"/>
        <w:rPr>
          <w:rFonts w:ascii="Times New Roman" w:hAnsi="Times New Roman" w:cs="Times New Roman"/>
          <w:sz w:val="24"/>
          <w:szCs w:val="24"/>
        </w:rPr>
      </w:pPr>
    </w:p>
    <w:p w14:paraId="05634920" w14:textId="3726966D" w:rsidR="00DB0806" w:rsidRPr="005E23D7" w:rsidRDefault="0027768B" w:rsidP="005E23D7">
      <w:pPr>
        <w:spacing w:after="0" w:line="240" w:lineRule="auto"/>
        <w:jc w:val="both"/>
        <w:rPr>
          <w:rFonts w:ascii="Times New Roman" w:hAnsi="Times New Roman" w:cs="Times New Roman"/>
          <w:b/>
          <w:bCs/>
          <w:sz w:val="24"/>
          <w:szCs w:val="24"/>
        </w:rPr>
      </w:pPr>
      <w:r w:rsidRPr="005E23D7">
        <w:rPr>
          <w:rFonts w:ascii="Times New Roman" w:hAnsi="Times New Roman" w:cs="Times New Roman"/>
          <w:b/>
          <w:bCs/>
          <w:sz w:val="24"/>
          <w:szCs w:val="24"/>
        </w:rPr>
        <w:t>Būvniecības nozares stabilitāte un izaugsme</w:t>
      </w:r>
    </w:p>
    <w:p w14:paraId="57989CB9" w14:textId="77777777" w:rsidR="005E23D7" w:rsidRDefault="005E23D7" w:rsidP="005E23D7">
      <w:pPr>
        <w:spacing w:after="0" w:line="240" w:lineRule="auto"/>
        <w:jc w:val="both"/>
        <w:rPr>
          <w:rFonts w:ascii="Times New Roman" w:eastAsia="Times New Roman" w:hAnsi="Times New Roman" w:cs="Times New Roman"/>
          <w:sz w:val="24"/>
          <w:szCs w:val="24"/>
        </w:rPr>
      </w:pPr>
    </w:p>
    <w:p w14:paraId="7877AC26" w14:textId="4A55C5F8" w:rsidR="00AF545A" w:rsidRPr="005E23D7" w:rsidRDefault="00DB0806" w:rsidP="005E23D7">
      <w:pPr>
        <w:spacing w:after="0" w:line="240" w:lineRule="auto"/>
        <w:jc w:val="both"/>
        <w:rPr>
          <w:rFonts w:ascii="Times New Roman" w:hAnsi="Times New Roman" w:cs="Times New Roman"/>
          <w:sz w:val="24"/>
          <w:szCs w:val="24"/>
        </w:rPr>
      </w:pPr>
      <w:r w:rsidRPr="005E23D7">
        <w:rPr>
          <w:rFonts w:ascii="Times New Roman" w:eastAsia="Times New Roman" w:hAnsi="Times New Roman" w:cs="Times New Roman"/>
          <w:sz w:val="24"/>
          <w:szCs w:val="24"/>
        </w:rPr>
        <w:t>Krievijas militārā agresija Ukrainā radīja tūlītēju būtisku ietekmi uz būvniecības nozari, tai skaitā apdraudot publiskās infrastruktūras projektu sekmīgu īstenošanu. Lai vispusīgi novērtētu kara ietekm</w:t>
      </w:r>
      <w:r w:rsidR="00A055F2" w:rsidRPr="005E23D7">
        <w:rPr>
          <w:rFonts w:ascii="Times New Roman" w:eastAsia="Times New Roman" w:hAnsi="Times New Roman" w:cs="Times New Roman"/>
          <w:sz w:val="24"/>
          <w:szCs w:val="24"/>
        </w:rPr>
        <w:t>i,</w:t>
      </w:r>
      <w:r w:rsidRPr="005E23D7">
        <w:rPr>
          <w:rFonts w:ascii="Times New Roman" w:eastAsia="Times New Roman" w:hAnsi="Times New Roman" w:cs="Times New Roman"/>
          <w:sz w:val="24"/>
          <w:szCs w:val="24"/>
        </w:rPr>
        <w:t xml:space="preserve"> rastu risinājumus risku mazināšanai un publiskās infrastruktūras projektu efektīvai īstenošanai, </w:t>
      </w:r>
      <w:r w:rsidR="00491C2B" w:rsidRPr="005E23D7">
        <w:rPr>
          <w:rFonts w:ascii="Times New Roman" w:eastAsia="Times New Roman" w:hAnsi="Times New Roman" w:cs="Times New Roman"/>
          <w:sz w:val="24"/>
          <w:szCs w:val="24"/>
        </w:rPr>
        <w:t>EM</w:t>
      </w:r>
      <w:r w:rsidRPr="005E23D7">
        <w:rPr>
          <w:rFonts w:ascii="Times New Roman" w:eastAsia="Times New Roman" w:hAnsi="Times New Roman" w:cs="Times New Roman"/>
          <w:sz w:val="24"/>
          <w:szCs w:val="24"/>
        </w:rPr>
        <w:t xml:space="preserve"> sadarbībā ar kompetentām institūcijām (IUB, CFLA, FM), pašvaldību un būvniecības nozares pārstāvjiem</w:t>
      </w:r>
      <w:r w:rsidR="00491C2B" w:rsidRPr="005E23D7">
        <w:rPr>
          <w:rFonts w:ascii="Times New Roman" w:eastAsia="Times New Roman" w:hAnsi="Times New Roman" w:cs="Times New Roman"/>
          <w:sz w:val="24"/>
          <w:szCs w:val="24"/>
        </w:rPr>
        <w:t xml:space="preserve"> </w:t>
      </w:r>
      <w:r w:rsidR="00491C2B" w:rsidRPr="005E23D7">
        <w:rPr>
          <w:rFonts w:ascii="Times New Roman" w:eastAsia="Times New Roman" w:hAnsi="Times New Roman" w:cs="Times New Roman"/>
          <w:sz w:val="24"/>
          <w:szCs w:val="24"/>
          <w:u w:val="single"/>
        </w:rPr>
        <w:t>apkopoja informāciju p</w:t>
      </w:r>
      <w:r w:rsidRPr="005E23D7">
        <w:rPr>
          <w:rFonts w:ascii="Times New Roman" w:hAnsi="Times New Roman" w:cs="Times New Roman"/>
          <w:sz w:val="24"/>
          <w:szCs w:val="24"/>
          <w:u w:val="single"/>
        </w:rPr>
        <w:t>ar situāciju būvniecības nozarē</w:t>
      </w:r>
      <w:r w:rsidR="00AF545A" w:rsidRPr="005E23D7">
        <w:rPr>
          <w:rFonts w:ascii="Times New Roman" w:hAnsi="Times New Roman" w:cs="Times New Roman"/>
          <w:sz w:val="24"/>
          <w:szCs w:val="24"/>
          <w:u w:val="single"/>
        </w:rPr>
        <w:t xml:space="preserve">, izejvielu un būvizstrādājumu pieejamību, kā arī straujo cenu kāpumu </w:t>
      </w:r>
      <w:r w:rsidRPr="005E23D7">
        <w:rPr>
          <w:rFonts w:ascii="Times New Roman" w:hAnsi="Times New Roman" w:cs="Times New Roman"/>
          <w:sz w:val="24"/>
          <w:szCs w:val="24"/>
          <w:u w:val="single"/>
        </w:rPr>
        <w:t xml:space="preserve">un </w:t>
      </w:r>
      <w:r w:rsidR="00491C2B" w:rsidRPr="005E23D7">
        <w:rPr>
          <w:rFonts w:ascii="Times New Roman" w:hAnsi="Times New Roman" w:cs="Times New Roman"/>
          <w:sz w:val="24"/>
          <w:szCs w:val="24"/>
          <w:u w:val="single"/>
        </w:rPr>
        <w:t xml:space="preserve">piedāvāja iespējamos </w:t>
      </w:r>
      <w:r w:rsidRPr="005E23D7">
        <w:rPr>
          <w:rFonts w:ascii="Times New Roman" w:hAnsi="Times New Roman" w:cs="Times New Roman"/>
          <w:sz w:val="24"/>
          <w:szCs w:val="24"/>
          <w:u w:val="single"/>
        </w:rPr>
        <w:t>risinājum</w:t>
      </w:r>
      <w:r w:rsidR="00491C2B" w:rsidRPr="005E23D7">
        <w:rPr>
          <w:rFonts w:ascii="Times New Roman" w:hAnsi="Times New Roman" w:cs="Times New Roman"/>
          <w:sz w:val="24"/>
          <w:szCs w:val="24"/>
          <w:u w:val="single"/>
        </w:rPr>
        <w:t>us</w:t>
      </w:r>
      <w:r w:rsidRPr="005E23D7">
        <w:rPr>
          <w:rFonts w:ascii="Times New Roman" w:hAnsi="Times New Roman" w:cs="Times New Roman"/>
          <w:sz w:val="24"/>
          <w:szCs w:val="24"/>
          <w:u w:val="single"/>
        </w:rPr>
        <w:t xml:space="preserve"> publisko investīciju projektos</w:t>
      </w:r>
      <w:r w:rsidR="00491C2B" w:rsidRPr="005E23D7">
        <w:rPr>
          <w:rFonts w:ascii="Times New Roman" w:hAnsi="Times New Roman" w:cs="Times New Roman"/>
          <w:sz w:val="24"/>
          <w:szCs w:val="24"/>
          <w:u w:val="single"/>
        </w:rPr>
        <w:t>.</w:t>
      </w:r>
      <w:r w:rsidR="00491C2B" w:rsidRPr="005E23D7">
        <w:rPr>
          <w:rFonts w:ascii="Times New Roman" w:hAnsi="Times New Roman" w:cs="Times New Roman"/>
          <w:sz w:val="24"/>
          <w:szCs w:val="24"/>
        </w:rPr>
        <w:t xml:space="preserve"> </w:t>
      </w:r>
      <w:r w:rsidR="00A055F2" w:rsidRPr="005E23D7">
        <w:rPr>
          <w:rFonts w:ascii="Times New Roman" w:hAnsi="Times New Roman" w:cs="Times New Roman"/>
          <w:sz w:val="24"/>
          <w:szCs w:val="24"/>
        </w:rPr>
        <w:t>Tai skaitā, t</w:t>
      </w:r>
      <w:r w:rsidR="00AF545A" w:rsidRPr="005E23D7">
        <w:rPr>
          <w:rFonts w:ascii="Times New Roman" w:hAnsi="Times New Roman" w:cs="Times New Roman"/>
          <w:color w:val="212529"/>
          <w:sz w:val="24"/>
          <w:szCs w:val="24"/>
          <w:shd w:val="clear" w:color="auto" w:fill="FFFFFF"/>
        </w:rPr>
        <w:t>ika apkopota arī informācija no publiskā sektora pasūtītājiem par paredzamo sadārdzinājumu esošajās un plānotajās būvdarbu iecerēs.</w:t>
      </w:r>
      <w:r w:rsidR="00AF545A" w:rsidRPr="005E23D7">
        <w:rPr>
          <w:rFonts w:ascii="Times New Roman" w:hAnsi="Times New Roman" w:cs="Times New Roman"/>
          <w:sz w:val="24"/>
          <w:szCs w:val="24"/>
        </w:rPr>
        <w:t xml:space="preserve"> </w:t>
      </w:r>
    </w:p>
    <w:p w14:paraId="69BD0E39" w14:textId="77777777" w:rsidR="0063022C" w:rsidRPr="005E23D7" w:rsidRDefault="0063022C" w:rsidP="005E23D7">
      <w:pPr>
        <w:spacing w:after="0" w:line="240" w:lineRule="auto"/>
        <w:jc w:val="both"/>
        <w:rPr>
          <w:rFonts w:ascii="Times New Roman" w:hAnsi="Times New Roman" w:cs="Times New Roman"/>
          <w:sz w:val="24"/>
          <w:szCs w:val="24"/>
        </w:rPr>
      </w:pPr>
    </w:p>
    <w:p w14:paraId="204FC217" w14:textId="14D79B84" w:rsidR="00DB0806" w:rsidRPr="005E23D7" w:rsidRDefault="00AF545A" w:rsidP="005E23D7">
      <w:pPr>
        <w:spacing w:after="0" w:line="240" w:lineRule="auto"/>
        <w:jc w:val="both"/>
        <w:rPr>
          <w:rFonts w:ascii="Times New Roman" w:eastAsia="Times New Roman" w:hAnsi="Times New Roman" w:cs="Times New Roman"/>
          <w:sz w:val="24"/>
          <w:szCs w:val="24"/>
        </w:rPr>
      </w:pPr>
      <w:r w:rsidRPr="005E23D7">
        <w:rPr>
          <w:rFonts w:ascii="Times New Roman" w:hAnsi="Times New Roman" w:cs="Times New Roman"/>
          <w:sz w:val="24"/>
          <w:szCs w:val="24"/>
        </w:rPr>
        <w:t>Lai sniegtu atbalstu p</w:t>
      </w:r>
      <w:r w:rsidR="00DB0806" w:rsidRPr="005E23D7">
        <w:rPr>
          <w:rFonts w:ascii="Times New Roman" w:hAnsi="Times New Roman" w:cs="Times New Roman"/>
          <w:sz w:val="24"/>
          <w:szCs w:val="24"/>
        </w:rPr>
        <w:t>asūtītāj</w:t>
      </w:r>
      <w:r w:rsidRPr="005E23D7">
        <w:rPr>
          <w:rFonts w:ascii="Times New Roman" w:hAnsi="Times New Roman" w:cs="Times New Roman"/>
          <w:sz w:val="24"/>
          <w:szCs w:val="24"/>
        </w:rPr>
        <w:t>iem</w:t>
      </w:r>
      <w:r w:rsidR="00387697" w:rsidRPr="005E23D7">
        <w:rPr>
          <w:rFonts w:ascii="Times New Roman" w:hAnsi="Times New Roman" w:cs="Times New Roman"/>
          <w:sz w:val="24"/>
          <w:szCs w:val="24"/>
        </w:rPr>
        <w:t>,</w:t>
      </w:r>
      <w:r w:rsidRPr="005E23D7">
        <w:rPr>
          <w:rFonts w:ascii="Times New Roman" w:hAnsi="Times New Roman" w:cs="Times New Roman"/>
          <w:sz w:val="24"/>
          <w:szCs w:val="24"/>
        </w:rPr>
        <w:t xml:space="preserve"> </w:t>
      </w:r>
      <w:r w:rsidR="00DB0806" w:rsidRPr="005E23D7">
        <w:rPr>
          <w:rFonts w:ascii="Times New Roman" w:hAnsi="Times New Roman" w:cs="Times New Roman"/>
          <w:sz w:val="24"/>
          <w:szCs w:val="24"/>
        </w:rPr>
        <w:t>izstrādā</w:t>
      </w:r>
      <w:r w:rsidRPr="005E23D7">
        <w:rPr>
          <w:rFonts w:ascii="Times New Roman" w:hAnsi="Times New Roman" w:cs="Times New Roman"/>
          <w:sz w:val="24"/>
          <w:szCs w:val="24"/>
        </w:rPr>
        <w:t>tas</w:t>
      </w:r>
      <w:r w:rsidR="00DB0806" w:rsidRPr="005E23D7">
        <w:rPr>
          <w:rFonts w:ascii="Times New Roman" w:hAnsi="Times New Roman" w:cs="Times New Roman"/>
          <w:sz w:val="24"/>
          <w:szCs w:val="24"/>
        </w:rPr>
        <w:t xml:space="preserve"> </w:t>
      </w:r>
      <w:r w:rsidR="00DB0806" w:rsidRPr="005E23D7">
        <w:rPr>
          <w:rFonts w:ascii="Times New Roman" w:hAnsi="Times New Roman" w:cs="Times New Roman"/>
          <w:sz w:val="24"/>
          <w:szCs w:val="24"/>
          <w:u w:val="single"/>
        </w:rPr>
        <w:t xml:space="preserve">vadlīnijas </w:t>
      </w:r>
      <w:r w:rsidRPr="005E23D7">
        <w:rPr>
          <w:rFonts w:ascii="Times New Roman" w:hAnsi="Times New Roman" w:cs="Times New Roman"/>
          <w:sz w:val="24"/>
          <w:szCs w:val="24"/>
          <w:u w:val="single"/>
        </w:rPr>
        <w:t>b</w:t>
      </w:r>
      <w:r w:rsidR="00DB0806" w:rsidRPr="005E23D7">
        <w:rPr>
          <w:rFonts w:ascii="Times New Roman" w:hAnsi="Times New Roman" w:cs="Times New Roman"/>
          <w:sz w:val="24"/>
          <w:szCs w:val="24"/>
          <w:u w:val="single"/>
        </w:rPr>
        <w:t>ūvmateriālu izmaksu sadārdzinājuma novērtēšanai</w:t>
      </w:r>
      <w:r w:rsidRPr="005E23D7">
        <w:rPr>
          <w:rFonts w:ascii="Times New Roman" w:hAnsi="Times New Roman" w:cs="Times New Roman"/>
          <w:sz w:val="24"/>
          <w:szCs w:val="24"/>
          <w:u w:val="single"/>
        </w:rPr>
        <w:t xml:space="preserve"> un</w:t>
      </w:r>
      <w:r w:rsidR="00DB0806" w:rsidRPr="005E23D7">
        <w:rPr>
          <w:rFonts w:ascii="Times New Roman" w:hAnsi="Times New Roman" w:cs="Times New Roman"/>
          <w:sz w:val="24"/>
          <w:szCs w:val="24"/>
          <w:u w:val="single"/>
        </w:rPr>
        <w:t xml:space="preserve"> grozījumu veikšanai spēkā esošajos publiskajos </w:t>
      </w:r>
      <w:r w:rsidR="00DB0806" w:rsidRPr="005E23D7">
        <w:rPr>
          <w:rFonts w:ascii="Times New Roman" w:hAnsi="Times New Roman" w:cs="Times New Roman"/>
          <w:sz w:val="24"/>
          <w:szCs w:val="24"/>
          <w:u w:val="single"/>
        </w:rPr>
        <w:lastRenderedPageBreak/>
        <w:t>būvdarbu līgumos</w:t>
      </w:r>
      <w:r w:rsidR="00DB0806" w:rsidRPr="005E23D7">
        <w:rPr>
          <w:rFonts w:ascii="Times New Roman" w:hAnsi="Times New Roman" w:cs="Times New Roman"/>
          <w:sz w:val="24"/>
          <w:szCs w:val="24"/>
        </w:rPr>
        <w:t xml:space="preserve"> attiecībā uz ēku būvniecību</w:t>
      </w:r>
      <w:r w:rsidRPr="005E23D7">
        <w:rPr>
          <w:rFonts w:ascii="Times New Roman" w:hAnsi="Times New Roman" w:cs="Times New Roman"/>
          <w:sz w:val="24"/>
          <w:szCs w:val="24"/>
        </w:rPr>
        <w:t>.</w:t>
      </w:r>
      <w:r w:rsidR="00DB0806" w:rsidRPr="005E23D7">
        <w:rPr>
          <w:rFonts w:ascii="Times New Roman" w:hAnsi="Times New Roman" w:cs="Times New Roman"/>
          <w:sz w:val="24"/>
          <w:szCs w:val="24"/>
        </w:rPr>
        <w:t xml:space="preserve"> </w:t>
      </w:r>
      <w:r w:rsidR="00A055F2" w:rsidRPr="005E23D7">
        <w:rPr>
          <w:rFonts w:ascii="Times New Roman" w:hAnsi="Times New Roman" w:cs="Times New Roman"/>
          <w:sz w:val="24"/>
          <w:szCs w:val="24"/>
        </w:rPr>
        <w:t>A</w:t>
      </w:r>
      <w:r w:rsidR="002E365C" w:rsidRPr="005E23D7">
        <w:rPr>
          <w:rFonts w:ascii="Times New Roman" w:hAnsi="Times New Roman" w:cs="Times New Roman"/>
          <w:sz w:val="24"/>
          <w:szCs w:val="24"/>
        </w:rPr>
        <w:t>ttiecībā uz nākotnē plānotajiem publisko būvdarbu līgumiem, izstrādāti noteikumi</w:t>
      </w:r>
      <w:r w:rsidR="00DB0806" w:rsidRPr="005E23D7">
        <w:rPr>
          <w:rFonts w:ascii="Times New Roman" w:eastAsia="Times New Roman" w:hAnsi="Times New Roman" w:cs="Times New Roman"/>
          <w:sz w:val="24"/>
          <w:szCs w:val="24"/>
        </w:rPr>
        <w:t xml:space="preserve">, kas paredz obligātu līgumcenas indeksācijas noteikumu iekļaušanu līgumos. Līgumcenas indeksācija ir efektīvs instruments būvdarbu strauja sadārdzinājuma riska pārvaldībai. </w:t>
      </w:r>
      <w:r w:rsidR="002E365C" w:rsidRPr="005E23D7">
        <w:rPr>
          <w:rFonts w:ascii="Times New Roman" w:eastAsia="Times New Roman" w:hAnsi="Times New Roman" w:cs="Times New Roman"/>
          <w:sz w:val="24"/>
          <w:szCs w:val="24"/>
        </w:rPr>
        <w:t xml:space="preserve">Vienlaikus, EM </w:t>
      </w:r>
      <w:r w:rsidR="00DB0806" w:rsidRPr="005E23D7">
        <w:rPr>
          <w:rFonts w:ascii="Times New Roman" w:eastAsia="Times New Roman" w:hAnsi="Times New Roman" w:cs="Times New Roman"/>
          <w:sz w:val="24"/>
          <w:szCs w:val="24"/>
        </w:rPr>
        <w:t>izstrādāj</w:t>
      </w:r>
      <w:r w:rsidR="002E365C" w:rsidRPr="005E23D7">
        <w:rPr>
          <w:rFonts w:ascii="Times New Roman" w:eastAsia="Times New Roman" w:hAnsi="Times New Roman" w:cs="Times New Roman"/>
          <w:sz w:val="24"/>
          <w:szCs w:val="24"/>
        </w:rPr>
        <w:t>a</w:t>
      </w:r>
      <w:r w:rsidR="00DB0806" w:rsidRPr="005E23D7">
        <w:rPr>
          <w:rFonts w:ascii="Times New Roman" w:eastAsia="Times New Roman" w:hAnsi="Times New Roman" w:cs="Times New Roman"/>
          <w:sz w:val="24"/>
          <w:szCs w:val="24"/>
        </w:rPr>
        <w:t xml:space="preserve"> </w:t>
      </w:r>
      <w:r w:rsidR="00DB0806" w:rsidRPr="005E23D7">
        <w:rPr>
          <w:rFonts w:ascii="Times New Roman" w:eastAsia="Times New Roman" w:hAnsi="Times New Roman" w:cs="Times New Roman"/>
          <w:sz w:val="24"/>
          <w:szCs w:val="24"/>
          <w:u w:val="single"/>
        </w:rPr>
        <w:t>vadlīnijas būvdarbu līguma cenas indeksācijai</w:t>
      </w:r>
      <w:r w:rsidR="00DB0806" w:rsidRPr="005E23D7">
        <w:rPr>
          <w:rFonts w:ascii="Times New Roman" w:eastAsia="Times New Roman" w:hAnsi="Times New Roman" w:cs="Times New Roman"/>
          <w:sz w:val="24"/>
          <w:szCs w:val="24"/>
        </w:rPr>
        <w:t xml:space="preserve">, apkopojot labās prakses piemērus un sniedzot ieteikumus sadārdzinājuma noteikšanas un aprēķināšanas kārtībai. </w:t>
      </w:r>
    </w:p>
    <w:p w14:paraId="2E75E5A1" w14:textId="77777777" w:rsidR="0063022C" w:rsidRPr="005E23D7" w:rsidRDefault="0063022C" w:rsidP="005E23D7">
      <w:pPr>
        <w:spacing w:after="0" w:line="240" w:lineRule="auto"/>
        <w:jc w:val="both"/>
        <w:rPr>
          <w:rFonts w:ascii="Times New Roman" w:eastAsia="Times New Roman" w:hAnsi="Times New Roman" w:cs="Times New Roman"/>
          <w:sz w:val="24"/>
          <w:szCs w:val="24"/>
        </w:rPr>
      </w:pPr>
    </w:p>
    <w:p w14:paraId="2ED5C2C0" w14:textId="7BF720AF" w:rsidR="00DB0806" w:rsidRPr="005E23D7" w:rsidRDefault="00836B0D" w:rsidP="005E23D7">
      <w:pPr>
        <w:spacing w:after="0" w:line="240" w:lineRule="auto"/>
        <w:jc w:val="both"/>
        <w:rPr>
          <w:rFonts w:ascii="Times New Roman" w:eastAsia="Times New Roman" w:hAnsi="Times New Roman" w:cs="Times New Roman"/>
          <w:sz w:val="24"/>
          <w:szCs w:val="24"/>
        </w:rPr>
      </w:pPr>
      <w:r w:rsidRPr="005E23D7">
        <w:rPr>
          <w:rFonts w:ascii="Times New Roman" w:eastAsia="Times New Roman" w:hAnsi="Times New Roman" w:cs="Times New Roman"/>
          <w:sz w:val="24"/>
          <w:szCs w:val="24"/>
        </w:rPr>
        <w:t>Ņ</w:t>
      </w:r>
      <w:r w:rsidR="00DB0806" w:rsidRPr="005E23D7">
        <w:rPr>
          <w:rFonts w:ascii="Times New Roman" w:eastAsia="Times New Roman" w:hAnsi="Times New Roman" w:cs="Times New Roman"/>
          <w:sz w:val="24"/>
          <w:szCs w:val="24"/>
        </w:rPr>
        <w:t xml:space="preserve">emot vērā, ka </w:t>
      </w:r>
      <w:r w:rsidRPr="005E23D7">
        <w:rPr>
          <w:rFonts w:ascii="Times New Roman" w:eastAsia="Times New Roman" w:hAnsi="Times New Roman" w:cs="Times New Roman"/>
          <w:sz w:val="24"/>
          <w:szCs w:val="24"/>
        </w:rPr>
        <w:t>šogad</w:t>
      </w:r>
      <w:r w:rsidR="00DB0806" w:rsidRPr="005E23D7">
        <w:rPr>
          <w:rFonts w:ascii="Times New Roman" w:eastAsia="Times New Roman" w:hAnsi="Times New Roman" w:cs="Times New Roman"/>
          <w:sz w:val="24"/>
          <w:szCs w:val="24"/>
        </w:rPr>
        <w:t xml:space="preserve"> beidz</w:t>
      </w:r>
      <w:r w:rsidRPr="005E23D7">
        <w:rPr>
          <w:rFonts w:ascii="Times New Roman" w:eastAsia="Times New Roman" w:hAnsi="Times New Roman" w:cs="Times New Roman"/>
          <w:sz w:val="24"/>
          <w:szCs w:val="24"/>
        </w:rPr>
        <w:t>ā</w:t>
      </w:r>
      <w:r w:rsidR="00DB0806" w:rsidRPr="005E23D7">
        <w:rPr>
          <w:rFonts w:ascii="Times New Roman" w:eastAsia="Times New Roman" w:hAnsi="Times New Roman" w:cs="Times New Roman"/>
          <w:sz w:val="24"/>
          <w:szCs w:val="24"/>
        </w:rPr>
        <w:t xml:space="preserve">s darbības termiņš iepriekš noslēgtajiem deleģēšanas līgumiem par kompetences novērtēšanu un patstāvīgās prakses uzraudzību būvniecības reglamentētajās profesijās, </w:t>
      </w:r>
      <w:r w:rsidRPr="005E23D7">
        <w:rPr>
          <w:rFonts w:ascii="Times New Roman" w:eastAsia="Times New Roman" w:hAnsi="Times New Roman" w:cs="Times New Roman"/>
          <w:sz w:val="24"/>
          <w:szCs w:val="24"/>
        </w:rPr>
        <w:t>EM</w:t>
      </w:r>
      <w:r w:rsidR="00DB0806" w:rsidRPr="005E23D7">
        <w:rPr>
          <w:rFonts w:ascii="Times New Roman" w:eastAsia="Times New Roman" w:hAnsi="Times New Roman" w:cs="Times New Roman"/>
          <w:sz w:val="24"/>
          <w:szCs w:val="24"/>
        </w:rPr>
        <w:t xml:space="preserve"> veica atbilstības revīziju</w:t>
      </w:r>
      <w:r w:rsidRPr="005E23D7">
        <w:rPr>
          <w:rFonts w:ascii="Times New Roman" w:eastAsia="Times New Roman" w:hAnsi="Times New Roman" w:cs="Times New Roman"/>
          <w:sz w:val="24"/>
          <w:szCs w:val="24"/>
        </w:rPr>
        <w:t xml:space="preserve"> sertificēšanas institūcijām</w:t>
      </w:r>
      <w:r w:rsidR="00DB0806" w:rsidRPr="005E23D7">
        <w:rPr>
          <w:rFonts w:ascii="Times New Roman" w:eastAsia="Times New Roman" w:hAnsi="Times New Roman" w:cs="Times New Roman"/>
          <w:sz w:val="24"/>
          <w:szCs w:val="24"/>
        </w:rPr>
        <w:t xml:space="preserve">. Deleģēšanas līgumi no jauna noslēgti ar nevalstiskām profesionālām organizācijām, nodrošinot sertificēšanas procesa nepārtrauktību. </w:t>
      </w:r>
    </w:p>
    <w:p w14:paraId="52ADD98D" w14:textId="77777777" w:rsidR="0063022C" w:rsidRPr="005E23D7" w:rsidRDefault="0063022C" w:rsidP="005E23D7">
      <w:pPr>
        <w:spacing w:after="0" w:line="240" w:lineRule="auto"/>
        <w:jc w:val="both"/>
        <w:rPr>
          <w:rFonts w:ascii="Times New Roman" w:eastAsia="Times New Roman" w:hAnsi="Times New Roman" w:cs="Times New Roman"/>
          <w:sz w:val="24"/>
          <w:szCs w:val="24"/>
        </w:rPr>
      </w:pPr>
    </w:p>
    <w:p w14:paraId="599D03C9" w14:textId="3A568C7B" w:rsidR="00DB0806" w:rsidRPr="005E23D7" w:rsidRDefault="00DB0806" w:rsidP="005E23D7">
      <w:pPr>
        <w:spacing w:after="0" w:line="240" w:lineRule="auto"/>
        <w:jc w:val="both"/>
        <w:rPr>
          <w:rFonts w:ascii="Times New Roman" w:eastAsia="Times New Roman" w:hAnsi="Times New Roman" w:cs="Times New Roman"/>
          <w:sz w:val="24"/>
          <w:szCs w:val="24"/>
        </w:rPr>
      </w:pPr>
      <w:r w:rsidRPr="005E23D7">
        <w:rPr>
          <w:rFonts w:ascii="Times New Roman" w:eastAsia="Times New Roman" w:hAnsi="Times New Roman" w:cs="Times New Roman"/>
          <w:sz w:val="24"/>
          <w:szCs w:val="24"/>
        </w:rPr>
        <w:t xml:space="preserve">Turpinājās </w:t>
      </w:r>
      <w:r w:rsidR="00B05C06" w:rsidRPr="005E23D7">
        <w:rPr>
          <w:rFonts w:ascii="Times New Roman" w:eastAsia="Times New Roman" w:hAnsi="Times New Roman" w:cs="Times New Roman"/>
          <w:sz w:val="24"/>
          <w:szCs w:val="24"/>
          <w:u w:val="single"/>
        </w:rPr>
        <w:t>B</w:t>
      </w:r>
      <w:r w:rsidRPr="005E23D7">
        <w:rPr>
          <w:rFonts w:ascii="Times New Roman" w:eastAsia="Times New Roman" w:hAnsi="Times New Roman" w:cs="Times New Roman"/>
          <w:sz w:val="24"/>
          <w:szCs w:val="24"/>
          <w:u w:val="single"/>
        </w:rPr>
        <w:t xml:space="preserve">ūvniecības informācijas sistēmas </w:t>
      </w:r>
      <w:r w:rsidR="0063022C" w:rsidRPr="005E23D7">
        <w:rPr>
          <w:rFonts w:ascii="Times New Roman" w:eastAsia="Times New Roman" w:hAnsi="Times New Roman" w:cs="Times New Roman"/>
          <w:sz w:val="24"/>
          <w:szCs w:val="24"/>
          <w:u w:val="single"/>
        </w:rPr>
        <w:t xml:space="preserve">(BIS) </w:t>
      </w:r>
      <w:r w:rsidRPr="005E23D7">
        <w:rPr>
          <w:rFonts w:ascii="Times New Roman" w:eastAsia="Times New Roman" w:hAnsi="Times New Roman" w:cs="Times New Roman"/>
          <w:sz w:val="24"/>
          <w:szCs w:val="24"/>
          <w:u w:val="single"/>
        </w:rPr>
        <w:t>funkcionalitātes attīstība</w:t>
      </w:r>
      <w:r w:rsidR="00B05C06" w:rsidRPr="005E23D7">
        <w:rPr>
          <w:rFonts w:ascii="Times New Roman" w:eastAsia="Times New Roman" w:hAnsi="Times New Roman" w:cs="Times New Roman"/>
          <w:sz w:val="24"/>
          <w:szCs w:val="24"/>
        </w:rPr>
        <w:t xml:space="preserve"> - </w:t>
      </w:r>
      <w:r w:rsidRPr="005E23D7">
        <w:rPr>
          <w:rFonts w:ascii="Times New Roman" w:eastAsia="Times New Roman" w:hAnsi="Times New Roman" w:cs="Times New Roman"/>
          <w:sz w:val="24"/>
          <w:szCs w:val="24"/>
        </w:rPr>
        <w:t xml:space="preserve">izstrādāta funkcionalitāte ēkas ekspluatācijas procesu nodrošināšanai un ēku pārvaldīšanai. Turpmāk vienuviet būs pieejami dati un digitālie dokumenti būvju efektīvai pārvaldībai. Ir pilnveidoti atsevišķi būvniecības ieceres saskaņošanas procesi, kā arī uzlabota funkcionalitāte būvdarbu dokumentēšanai. Būvniecības kontroles kvalitātes paaugstināšanai ir radīta iespēja pārlūkot trīs dimensiju būvju informācijas modeļus (BIM). </w:t>
      </w:r>
    </w:p>
    <w:p w14:paraId="2DC23773" w14:textId="77777777" w:rsidR="0063022C" w:rsidRPr="005E23D7" w:rsidRDefault="0063022C" w:rsidP="005E23D7">
      <w:pPr>
        <w:spacing w:after="0" w:line="240" w:lineRule="auto"/>
        <w:jc w:val="both"/>
        <w:rPr>
          <w:rFonts w:ascii="Times New Roman" w:eastAsia="Times New Roman" w:hAnsi="Times New Roman" w:cs="Times New Roman"/>
          <w:sz w:val="24"/>
          <w:szCs w:val="24"/>
        </w:rPr>
      </w:pPr>
    </w:p>
    <w:p w14:paraId="45AAD659" w14:textId="255820C7" w:rsidR="00B05C06" w:rsidRPr="005E23D7" w:rsidRDefault="00B05C06" w:rsidP="005E23D7">
      <w:pPr>
        <w:spacing w:after="0" w:line="240" w:lineRule="auto"/>
        <w:jc w:val="both"/>
        <w:rPr>
          <w:rFonts w:ascii="Times New Roman" w:eastAsia="Times New Roman" w:hAnsi="Times New Roman" w:cs="Times New Roman"/>
          <w:sz w:val="24"/>
          <w:szCs w:val="24"/>
        </w:rPr>
      </w:pPr>
      <w:r w:rsidRPr="005E23D7">
        <w:rPr>
          <w:rFonts w:ascii="Times New Roman" w:eastAsia="Times New Roman" w:hAnsi="Times New Roman" w:cs="Times New Roman"/>
          <w:sz w:val="24"/>
          <w:szCs w:val="24"/>
        </w:rPr>
        <w:t xml:space="preserve">Vienlaikus, </w:t>
      </w:r>
      <w:r w:rsidRPr="005E23D7">
        <w:rPr>
          <w:rFonts w:ascii="Times New Roman" w:hAnsi="Times New Roman" w:cs="Times New Roman"/>
          <w:spacing w:val="11"/>
          <w:sz w:val="24"/>
          <w:szCs w:val="24"/>
        </w:rPr>
        <w:t xml:space="preserve">lai uzlabotu dzīvojamo māju pārvaldīšanas procesu, nodrošinātu pārvaldnieku godīgas konkurences apstākļus, kā arī dzīvokļu īpašnieku brīvu un drošu savas mājas ekspluatācijas dokumentācijas glabāšanu un pieejamību vienuviet, izstrādāta </w:t>
      </w:r>
      <w:r w:rsidRPr="005E23D7">
        <w:rPr>
          <w:rFonts w:ascii="Times New Roman" w:hAnsi="Times New Roman" w:cs="Times New Roman"/>
          <w:spacing w:val="11"/>
          <w:sz w:val="24"/>
          <w:szCs w:val="24"/>
          <w:u w:val="single"/>
        </w:rPr>
        <w:t>Mājas lietas funkcionalitāte BIS.</w:t>
      </w:r>
      <w:r w:rsidRPr="005E23D7">
        <w:rPr>
          <w:rFonts w:ascii="Times New Roman" w:hAnsi="Times New Roman" w:cs="Times New Roman"/>
          <w:spacing w:val="11"/>
          <w:sz w:val="24"/>
          <w:szCs w:val="24"/>
        </w:rPr>
        <w:t xml:space="preserve"> Līdz ar to, turpmāk dzīvojamās mājas lietu varēs kārtot BIS, kā arī dzīvokļu īpašnieki tajā varēs elektroniski pieņemt lēmumus.</w:t>
      </w:r>
    </w:p>
    <w:p w14:paraId="623FD3BD" w14:textId="77777777" w:rsidR="00B05C06" w:rsidRPr="005E23D7" w:rsidRDefault="00B05C06" w:rsidP="005E23D7">
      <w:pPr>
        <w:spacing w:after="0" w:line="240" w:lineRule="auto"/>
        <w:jc w:val="both"/>
        <w:rPr>
          <w:rFonts w:ascii="Times New Roman" w:eastAsia="Times New Roman" w:hAnsi="Times New Roman" w:cs="Times New Roman"/>
          <w:sz w:val="24"/>
          <w:szCs w:val="24"/>
        </w:rPr>
      </w:pPr>
    </w:p>
    <w:p w14:paraId="77A70D28" w14:textId="73BBEACE" w:rsidR="00DB0806" w:rsidRPr="005E23D7" w:rsidRDefault="0084105D" w:rsidP="005E23D7">
      <w:pPr>
        <w:spacing w:after="0" w:line="240" w:lineRule="auto"/>
        <w:jc w:val="both"/>
        <w:rPr>
          <w:rFonts w:ascii="Times New Roman" w:eastAsia="Times New Roman" w:hAnsi="Times New Roman" w:cs="Times New Roman"/>
          <w:sz w:val="24"/>
          <w:szCs w:val="24"/>
        </w:rPr>
      </w:pPr>
      <w:r w:rsidRPr="005E23D7">
        <w:rPr>
          <w:rFonts w:ascii="Times New Roman" w:eastAsia="Times New Roman" w:hAnsi="Times New Roman" w:cs="Times New Roman"/>
          <w:sz w:val="24"/>
          <w:szCs w:val="24"/>
        </w:rPr>
        <w:t xml:space="preserve">Ar mērķi </w:t>
      </w:r>
      <w:r w:rsidRPr="005E23D7">
        <w:rPr>
          <w:rFonts w:ascii="Times New Roman" w:eastAsia="Times New Roman" w:hAnsi="Times New Roman" w:cs="Times New Roman"/>
          <w:sz w:val="24"/>
          <w:szCs w:val="24"/>
          <w:u w:val="single"/>
        </w:rPr>
        <w:t xml:space="preserve">paaugstināt būvniecības nozarē </w:t>
      </w:r>
      <w:r w:rsidR="00DB0806" w:rsidRPr="005E23D7">
        <w:rPr>
          <w:rFonts w:ascii="Times New Roman" w:eastAsia="Times New Roman" w:hAnsi="Times New Roman" w:cs="Times New Roman"/>
          <w:sz w:val="24"/>
          <w:szCs w:val="24"/>
          <w:u w:val="single"/>
        </w:rPr>
        <w:t>nodarbināto kompetenc</w:t>
      </w:r>
      <w:r w:rsidRPr="005E23D7">
        <w:rPr>
          <w:rFonts w:ascii="Times New Roman" w:eastAsia="Times New Roman" w:hAnsi="Times New Roman" w:cs="Times New Roman"/>
          <w:sz w:val="24"/>
          <w:szCs w:val="24"/>
          <w:u w:val="single"/>
        </w:rPr>
        <w:t>i,</w:t>
      </w:r>
      <w:r w:rsidRPr="005E23D7">
        <w:rPr>
          <w:rFonts w:ascii="Times New Roman" w:eastAsia="Times New Roman" w:hAnsi="Times New Roman" w:cs="Times New Roman"/>
          <w:sz w:val="24"/>
          <w:szCs w:val="24"/>
        </w:rPr>
        <w:t xml:space="preserve"> s</w:t>
      </w:r>
      <w:r w:rsidR="00DB0806" w:rsidRPr="005E23D7">
        <w:rPr>
          <w:rFonts w:ascii="Times New Roman" w:eastAsia="Times New Roman" w:hAnsi="Times New Roman" w:cs="Times New Roman"/>
          <w:sz w:val="24"/>
          <w:szCs w:val="24"/>
        </w:rPr>
        <w:t>adarbībā ar Latvijas Biozinātņu un tehnoloģiju universitāti organizētas apmācības par koka izmantošanu būvniecībā, koka ēku projektēšanu</w:t>
      </w:r>
      <w:r w:rsidR="00C9302A" w:rsidRPr="005E23D7">
        <w:rPr>
          <w:rFonts w:ascii="Times New Roman" w:eastAsia="Times New Roman" w:hAnsi="Times New Roman" w:cs="Times New Roman"/>
          <w:sz w:val="24"/>
          <w:szCs w:val="24"/>
        </w:rPr>
        <w:t xml:space="preserve">, </w:t>
      </w:r>
      <w:r w:rsidR="00DB0806" w:rsidRPr="005E23D7">
        <w:rPr>
          <w:rFonts w:ascii="Times New Roman" w:eastAsia="Times New Roman" w:hAnsi="Times New Roman" w:cs="Times New Roman"/>
          <w:sz w:val="24"/>
          <w:szCs w:val="24"/>
        </w:rPr>
        <w:t xml:space="preserve">koka konstrukciju īpašībām un tam izvirzītajām prasībām. </w:t>
      </w:r>
      <w:r w:rsidR="00C9302A" w:rsidRPr="005E23D7">
        <w:rPr>
          <w:rFonts w:ascii="Times New Roman" w:eastAsia="Times New Roman" w:hAnsi="Times New Roman" w:cs="Times New Roman"/>
          <w:sz w:val="24"/>
          <w:szCs w:val="24"/>
        </w:rPr>
        <w:t>N</w:t>
      </w:r>
      <w:r w:rsidR="00DB0806" w:rsidRPr="005E23D7">
        <w:rPr>
          <w:rFonts w:ascii="Times New Roman" w:eastAsia="Times New Roman" w:hAnsi="Times New Roman" w:cs="Times New Roman"/>
          <w:sz w:val="24"/>
          <w:szCs w:val="24"/>
        </w:rPr>
        <w:t xml:space="preserve">odrošināta augstvērtīga būvspeciālistu kompetences paaugstināšana par konstrukciju ugunsdrošības risinājumu projektēšanu, dziļo pamatu izbūvi blīvas apbūves apstākļos, energoefektivitātes paaugstināšanu, vides pieejamības labās prakses veicināšanu, </w:t>
      </w:r>
      <w:r w:rsidR="00DB0806" w:rsidRPr="005E23D7">
        <w:rPr>
          <w:rFonts w:ascii="Times New Roman" w:eastAsia="Times New Roman" w:hAnsi="Times New Roman" w:cs="Times New Roman"/>
          <w:i/>
          <w:iCs/>
          <w:sz w:val="24"/>
          <w:szCs w:val="24"/>
        </w:rPr>
        <w:t xml:space="preserve">FIDIC </w:t>
      </w:r>
      <w:r w:rsidR="00DB0806" w:rsidRPr="005E23D7">
        <w:rPr>
          <w:rFonts w:ascii="Times New Roman" w:eastAsia="Times New Roman" w:hAnsi="Times New Roman" w:cs="Times New Roman"/>
          <w:sz w:val="24"/>
          <w:szCs w:val="24"/>
        </w:rPr>
        <w:t xml:space="preserve">līgumu </w:t>
      </w:r>
      <w:proofErr w:type="spellStart"/>
      <w:r w:rsidR="00DB0806" w:rsidRPr="005E23D7">
        <w:rPr>
          <w:rFonts w:ascii="Times New Roman" w:eastAsia="Times New Roman" w:hAnsi="Times New Roman" w:cs="Times New Roman"/>
          <w:sz w:val="24"/>
          <w:szCs w:val="24"/>
        </w:rPr>
        <w:t>inženierkonsultanta</w:t>
      </w:r>
      <w:proofErr w:type="spellEnd"/>
      <w:r w:rsidR="00DB0806" w:rsidRPr="005E23D7">
        <w:rPr>
          <w:rFonts w:ascii="Times New Roman" w:eastAsia="Times New Roman" w:hAnsi="Times New Roman" w:cs="Times New Roman"/>
          <w:sz w:val="24"/>
          <w:szCs w:val="24"/>
        </w:rPr>
        <w:t xml:space="preserve"> lomu un nozīmi. Apmācību ieraksti un materiāli ir pieejami </w:t>
      </w:r>
      <w:r w:rsidR="0063022C" w:rsidRPr="005E23D7">
        <w:rPr>
          <w:rFonts w:ascii="Times New Roman" w:eastAsia="Times New Roman" w:hAnsi="Times New Roman" w:cs="Times New Roman"/>
          <w:sz w:val="24"/>
          <w:szCs w:val="24"/>
        </w:rPr>
        <w:t>BIS</w:t>
      </w:r>
      <w:r w:rsidR="00DB0806" w:rsidRPr="005E23D7">
        <w:rPr>
          <w:rFonts w:ascii="Times New Roman" w:eastAsia="Times New Roman" w:hAnsi="Times New Roman" w:cs="Times New Roman"/>
          <w:sz w:val="24"/>
          <w:szCs w:val="24"/>
        </w:rPr>
        <w:t xml:space="preserve">. </w:t>
      </w:r>
    </w:p>
    <w:p w14:paraId="5EB0C13F" w14:textId="0B2BCA57" w:rsidR="00DB0806" w:rsidRPr="005E23D7" w:rsidRDefault="00DB0806" w:rsidP="005E23D7">
      <w:pPr>
        <w:spacing w:after="0" w:line="240" w:lineRule="auto"/>
        <w:jc w:val="both"/>
        <w:rPr>
          <w:rFonts w:ascii="Times New Roman" w:hAnsi="Times New Roman" w:cs="Times New Roman"/>
          <w:sz w:val="24"/>
          <w:szCs w:val="24"/>
        </w:rPr>
      </w:pPr>
    </w:p>
    <w:p w14:paraId="25A4113C" w14:textId="36FDE8AB" w:rsidR="00387697" w:rsidRPr="005E23D7" w:rsidRDefault="000E51A8" w:rsidP="005E23D7">
      <w:pPr>
        <w:spacing w:after="0" w:line="240" w:lineRule="auto"/>
        <w:jc w:val="both"/>
        <w:rPr>
          <w:rFonts w:ascii="Times New Roman" w:hAnsi="Times New Roman" w:cs="Times New Roman"/>
          <w:sz w:val="24"/>
          <w:szCs w:val="24"/>
        </w:rPr>
      </w:pPr>
      <w:r w:rsidRPr="005E23D7">
        <w:rPr>
          <w:rFonts w:ascii="Times New Roman" w:hAnsi="Times New Roman" w:cs="Times New Roman"/>
          <w:b/>
          <w:bCs/>
          <w:sz w:val="24"/>
          <w:szCs w:val="24"/>
        </w:rPr>
        <w:t>Patērētāju tiesību aizsardzība</w:t>
      </w:r>
    </w:p>
    <w:p w14:paraId="5881F427" w14:textId="77777777" w:rsidR="005E23D7" w:rsidRDefault="005E23D7" w:rsidP="005E23D7">
      <w:pPr>
        <w:spacing w:after="0" w:line="240" w:lineRule="auto"/>
        <w:jc w:val="both"/>
        <w:rPr>
          <w:rFonts w:ascii="Times New Roman" w:hAnsi="Times New Roman" w:cs="Times New Roman"/>
          <w:sz w:val="24"/>
          <w:szCs w:val="24"/>
        </w:rPr>
      </w:pPr>
    </w:p>
    <w:p w14:paraId="1C72E357" w14:textId="14C1590D" w:rsidR="000E51A8" w:rsidRPr="005E23D7" w:rsidRDefault="000F28AA" w:rsidP="005E23D7">
      <w:pPr>
        <w:spacing w:after="0" w:line="240" w:lineRule="auto"/>
        <w:jc w:val="both"/>
        <w:rPr>
          <w:rFonts w:ascii="Times New Roman" w:hAnsi="Times New Roman" w:cs="Times New Roman"/>
          <w:sz w:val="24"/>
          <w:szCs w:val="24"/>
        </w:rPr>
      </w:pPr>
      <w:r w:rsidRPr="005E23D7">
        <w:rPr>
          <w:rFonts w:ascii="Times New Roman" w:hAnsi="Times New Roman" w:cs="Times New Roman"/>
          <w:sz w:val="24"/>
          <w:szCs w:val="24"/>
        </w:rPr>
        <w:t xml:space="preserve">Ar mērķi </w:t>
      </w:r>
      <w:r w:rsidR="00677594" w:rsidRPr="005E23D7">
        <w:rPr>
          <w:rFonts w:ascii="Times New Roman" w:hAnsi="Times New Roman" w:cs="Times New Roman"/>
          <w:sz w:val="24"/>
          <w:szCs w:val="24"/>
        </w:rPr>
        <w:t>panākt</w:t>
      </w:r>
      <w:r w:rsidRPr="005E23D7">
        <w:rPr>
          <w:rFonts w:ascii="Times New Roman" w:hAnsi="Times New Roman" w:cs="Times New Roman"/>
          <w:sz w:val="24"/>
          <w:szCs w:val="24"/>
        </w:rPr>
        <w:t xml:space="preserve"> augsta līmeņa patērētāju tiesību aizsardzību, </w:t>
      </w:r>
      <w:r w:rsidR="000E51A8" w:rsidRPr="005E23D7">
        <w:rPr>
          <w:rFonts w:ascii="Times New Roman" w:hAnsi="Times New Roman" w:cs="Times New Roman"/>
          <w:sz w:val="24"/>
          <w:szCs w:val="24"/>
        </w:rPr>
        <w:t>2022.gadā pārņemt</w:t>
      </w:r>
      <w:r w:rsidR="00387697" w:rsidRPr="005E23D7">
        <w:rPr>
          <w:rFonts w:ascii="Times New Roman" w:hAnsi="Times New Roman" w:cs="Times New Roman"/>
          <w:sz w:val="24"/>
          <w:szCs w:val="24"/>
        </w:rPr>
        <w:t>a</w:t>
      </w:r>
      <w:r w:rsidR="000E51A8" w:rsidRPr="005E23D7">
        <w:rPr>
          <w:rFonts w:ascii="Times New Roman" w:hAnsi="Times New Roman" w:cs="Times New Roman"/>
          <w:sz w:val="24"/>
          <w:szCs w:val="24"/>
        </w:rPr>
        <w:t xml:space="preserve"> </w:t>
      </w:r>
      <w:r w:rsidR="000E51A8" w:rsidRPr="005E23D7">
        <w:rPr>
          <w:rFonts w:ascii="Times New Roman" w:hAnsi="Times New Roman" w:cs="Times New Roman"/>
          <w:i/>
          <w:iCs/>
          <w:sz w:val="24"/>
          <w:szCs w:val="24"/>
        </w:rPr>
        <w:t>Eiropas Parlamenta un Padomes 2020.gada 25.novembra Direktīvas (ES) 2020/1828 par pārstāvības prasībām patērētāju kolektīvo interešu aizsardzībai</w:t>
      </w:r>
      <w:r w:rsidRPr="005E23D7">
        <w:rPr>
          <w:rFonts w:ascii="Times New Roman" w:hAnsi="Times New Roman" w:cs="Times New Roman"/>
          <w:i/>
          <w:iCs/>
          <w:sz w:val="24"/>
          <w:szCs w:val="24"/>
        </w:rPr>
        <w:t xml:space="preserve"> </w:t>
      </w:r>
      <w:r w:rsidRPr="005E23D7">
        <w:rPr>
          <w:rFonts w:ascii="Times New Roman" w:hAnsi="Times New Roman" w:cs="Times New Roman"/>
          <w:sz w:val="24"/>
          <w:szCs w:val="24"/>
        </w:rPr>
        <w:t xml:space="preserve">un </w:t>
      </w:r>
      <w:r w:rsidR="000E51A8" w:rsidRPr="005E23D7">
        <w:rPr>
          <w:rFonts w:ascii="Times New Roman" w:hAnsi="Times New Roman" w:cs="Times New Roman"/>
          <w:sz w:val="24"/>
          <w:szCs w:val="24"/>
        </w:rPr>
        <w:t xml:space="preserve">sagatavoti </w:t>
      </w:r>
      <w:r w:rsidR="000E51A8" w:rsidRPr="005E23D7">
        <w:rPr>
          <w:rFonts w:ascii="Times New Roman" w:hAnsi="Times New Roman" w:cs="Times New Roman"/>
          <w:sz w:val="24"/>
          <w:szCs w:val="24"/>
          <w:u w:val="single"/>
        </w:rPr>
        <w:t>grozījumi Patērētāju tiesību aizsardzības likumā un Civilprocesa likumā.</w:t>
      </w:r>
      <w:r w:rsidR="000E51A8" w:rsidRPr="005E23D7">
        <w:rPr>
          <w:rFonts w:ascii="Times New Roman" w:hAnsi="Times New Roman" w:cs="Times New Roman"/>
          <w:sz w:val="24"/>
          <w:szCs w:val="24"/>
        </w:rPr>
        <w:t xml:space="preserve"> Paredzams, ka grozījumi </w:t>
      </w:r>
      <w:r w:rsidRPr="005E23D7">
        <w:rPr>
          <w:rFonts w:ascii="Times New Roman" w:hAnsi="Times New Roman" w:cs="Times New Roman"/>
          <w:sz w:val="24"/>
          <w:szCs w:val="24"/>
        </w:rPr>
        <w:t xml:space="preserve">likumos </w:t>
      </w:r>
      <w:r w:rsidR="000E51A8" w:rsidRPr="005E23D7">
        <w:rPr>
          <w:rFonts w:ascii="Times New Roman" w:hAnsi="Times New Roman" w:cs="Times New Roman"/>
          <w:sz w:val="24"/>
          <w:szCs w:val="24"/>
        </w:rPr>
        <w:t>tik</w:t>
      </w:r>
      <w:r w:rsidRPr="005E23D7">
        <w:rPr>
          <w:rFonts w:ascii="Times New Roman" w:hAnsi="Times New Roman" w:cs="Times New Roman"/>
          <w:sz w:val="24"/>
          <w:szCs w:val="24"/>
        </w:rPr>
        <w:t>s</w:t>
      </w:r>
      <w:r w:rsidR="000E51A8" w:rsidRPr="005E23D7">
        <w:rPr>
          <w:rFonts w:ascii="Times New Roman" w:hAnsi="Times New Roman" w:cs="Times New Roman"/>
          <w:sz w:val="24"/>
          <w:szCs w:val="24"/>
        </w:rPr>
        <w:t xml:space="preserve"> apstiprināti Saeimā </w:t>
      </w:r>
      <w:r w:rsidRPr="005E23D7">
        <w:rPr>
          <w:rFonts w:ascii="Times New Roman" w:hAnsi="Times New Roman" w:cs="Times New Roman"/>
          <w:sz w:val="24"/>
          <w:szCs w:val="24"/>
        </w:rPr>
        <w:t>2023.</w:t>
      </w:r>
      <w:r w:rsidR="000E51A8" w:rsidRPr="005E23D7">
        <w:rPr>
          <w:rFonts w:ascii="Times New Roman" w:hAnsi="Times New Roman" w:cs="Times New Roman"/>
          <w:sz w:val="24"/>
          <w:szCs w:val="24"/>
        </w:rPr>
        <w:t xml:space="preserve"> gada pirmajā ceturksnī.</w:t>
      </w:r>
    </w:p>
    <w:p w14:paraId="49B4AAF9" w14:textId="77777777" w:rsidR="0063022C" w:rsidRPr="005E23D7" w:rsidRDefault="0063022C" w:rsidP="005E23D7">
      <w:pPr>
        <w:spacing w:after="0" w:line="240" w:lineRule="auto"/>
        <w:jc w:val="both"/>
        <w:rPr>
          <w:rFonts w:ascii="Times New Roman" w:hAnsi="Times New Roman" w:cs="Times New Roman"/>
          <w:sz w:val="24"/>
          <w:szCs w:val="24"/>
        </w:rPr>
      </w:pPr>
    </w:p>
    <w:p w14:paraId="7E884FCD" w14:textId="7000BD65" w:rsidR="000E51A8" w:rsidRPr="005E23D7" w:rsidRDefault="00677594" w:rsidP="005E23D7">
      <w:pPr>
        <w:spacing w:after="0" w:line="240" w:lineRule="auto"/>
        <w:jc w:val="both"/>
        <w:rPr>
          <w:rFonts w:ascii="Times New Roman" w:hAnsi="Times New Roman" w:cs="Times New Roman"/>
          <w:sz w:val="24"/>
          <w:szCs w:val="24"/>
        </w:rPr>
      </w:pPr>
      <w:r w:rsidRPr="005E23D7">
        <w:rPr>
          <w:rFonts w:ascii="Times New Roman" w:hAnsi="Times New Roman" w:cs="Times New Roman"/>
          <w:sz w:val="24"/>
          <w:szCs w:val="24"/>
        </w:rPr>
        <w:lastRenderedPageBreak/>
        <w:t>Godīgas konkurences veicināšanai iekšējā tirgū visas sabiedrības (t.sk. patērētāju) interesēs</w:t>
      </w:r>
      <w:r w:rsidR="00D4281B" w:rsidRPr="005E23D7">
        <w:rPr>
          <w:rFonts w:ascii="Times New Roman" w:hAnsi="Times New Roman" w:cs="Times New Roman"/>
          <w:sz w:val="24"/>
          <w:szCs w:val="24"/>
        </w:rPr>
        <w:t>, p</w:t>
      </w:r>
      <w:r w:rsidR="000E51A8" w:rsidRPr="005E23D7">
        <w:rPr>
          <w:rFonts w:ascii="Times New Roman" w:hAnsi="Times New Roman" w:cs="Times New Roman"/>
          <w:sz w:val="24"/>
          <w:szCs w:val="24"/>
        </w:rPr>
        <w:t>abeigt</w:t>
      </w:r>
      <w:r w:rsidR="00A055F2" w:rsidRPr="005E23D7">
        <w:rPr>
          <w:rFonts w:ascii="Times New Roman" w:hAnsi="Times New Roman" w:cs="Times New Roman"/>
          <w:sz w:val="24"/>
          <w:szCs w:val="24"/>
        </w:rPr>
        <w:t>a</w:t>
      </w:r>
      <w:r w:rsidR="000E51A8" w:rsidRPr="005E23D7">
        <w:rPr>
          <w:rFonts w:ascii="Times New Roman" w:hAnsi="Times New Roman" w:cs="Times New Roman"/>
          <w:sz w:val="24"/>
          <w:szCs w:val="24"/>
        </w:rPr>
        <w:t xml:space="preserve"> </w:t>
      </w:r>
      <w:r w:rsidR="000E51A8" w:rsidRPr="005E23D7">
        <w:rPr>
          <w:rFonts w:ascii="Times New Roman" w:hAnsi="Times New Roman" w:cs="Times New Roman"/>
          <w:i/>
          <w:iCs/>
          <w:color w:val="0D0D0D" w:themeColor="text1" w:themeTint="F2"/>
          <w:sz w:val="24"/>
          <w:szCs w:val="24"/>
          <w:shd w:val="clear" w:color="auto" w:fill="FFFFFF"/>
        </w:rPr>
        <w:t>Eiropas Parlamenta un Padomes Direktīvas 2019/1/ES</w:t>
      </w:r>
      <w:r w:rsidR="000E51A8" w:rsidRPr="005E23D7">
        <w:rPr>
          <w:rStyle w:val="FootnoteReference"/>
          <w:rFonts w:ascii="Times New Roman" w:hAnsi="Times New Roman" w:cs="Times New Roman"/>
          <w:sz w:val="24"/>
          <w:szCs w:val="24"/>
        </w:rPr>
        <w:footnoteReference w:id="1"/>
      </w:r>
      <w:r w:rsidR="000E51A8" w:rsidRPr="005E23D7">
        <w:rPr>
          <w:rFonts w:ascii="Times New Roman" w:hAnsi="Times New Roman" w:cs="Times New Roman"/>
          <w:sz w:val="24"/>
          <w:szCs w:val="24"/>
        </w:rPr>
        <w:t xml:space="preserve"> ieviešana nacionālajā likumdošanā. </w:t>
      </w:r>
      <w:r w:rsidRPr="005E23D7">
        <w:rPr>
          <w:rFonts w:ascii="Times New Roman" w:hAnsi="Times New Roman" w:cs="Times New Roman"/>
          <w:sz w:val="24"/>
          <w:szCs w:val="24"/>
        </w:rPr>
        <w:t xml:space="preserve">Attiecīgi </w:t>
      </w:r>
      <w:r w:rsidR="000E51A8" w:rsidRPr="005E23D7">
        <w:rPr>
          <w:rFonts w:ascii="Times New Roman" w:hAnsi="Times New Roman" w:cs="Times New Roman"/>
          <w:sz w:val="24"/>
          <w:szCs w:val="24"/>
        </w:rPr>
        <w:t xml:space="preserve">Saeimā pieņemti </w:t>
      </w:r>
      <w:r w:rsidR="000E51A8" w:rsidRPr="005E23D7">
        <w:rPr>
          <w:rFonts w:ascii="Times New Roman" w:hAnsi="Times New Roman" w:cs="Times New Roman"/>
          <w:sz w:val="24"/>
          <w:szCs w:val="24"/>
          <w:u w:val="single"/>
        </w:rPr>
        <w:t>grozījumi Konkurences likumā,</w:t>
      </w:r>
      <w:r w:rsidR="000E51A8" w:rsidRPr="005E23D7">
        <w:rPr>
          <w:rFonts w:ascii="Times New Roman" w:hAnsi="Times New Roman" w:cs="Times New Roman"/>
          <w:sz w:val="24"/>
          <w:szCs w:val="24"/>
        </w:rPr>
        <w:t xml:space="preserve"> ar kuriem tika stiprināta Konkurences padome ar nepieciešamajām neatkarības garantijām, resursiem un izpildes pilnvarām efektīvai konkurences tiesību pārkāpumu izmeklēšanai un </w:t>
      </w:r>
      <w:proofErr w:type="spellStart"/>
      <w:r w:rsidR="000E51A8" w:rsidRPr="005E23D7">
        <w:rPr>
          <w:rFonts w:ascii="Times New Roman" w:hAnsi="Times New Roman" w:cs="Times New Roman"/>
          <w:sz w:val="24"/>
          <w:szCs w:val="24"/>
        </w:rPr>
        <w:t>prevencijai</w:t>
      </w:r>
      <w:proofErr w:type="spellEnd"/>
      <w:r w:rsidR="000E51A8" w:rsidRPr="005E23D7">
        <w:rPr>
          <w:rFonts w:ascii="Times New Roman" w:hAnsi="Times New Roman" w:cs="Times New Roman"/>
          <w:sz w:val="24"/>
          <w:szCs w:val="24"/>
        </w:rPr>
        <w:t>. Vienlaikus Ministru kabinet</w:t>
      </w:r>
      <w:r w:rsidR="00D4281B" w:rsidRPr="005E23D7">
        <w:rPr>
          <w:rFonts w:ascii="Times New Roman" w:hAnsi="Times New Roman" w:cs="Times New Roman"/>
          <w:sz w:val="24"/>
          <w:szCs w:val="24"/>
        </w:rPr>
        <w:t xml:space="preserve">s </w:t>
      </w:r>
      <w:r w:rsidR="000E51A8" w:rsidRPr="005E23D7">
        <w:rPr>
          <w:rFonts w:ascii="Times New Roman" w:hAnsi="Times New Roman" w:cs="Times New Roman"/>
          <w:sz w:val="24"/>
          <w:szCs w:val="24"/>
        </w:rPr>
        <w:t>atbalstī</w:t>
      </w:r>
      <w:r w:rsidR="00D4281B" w:rsidRPr="005E23D7">
        <w:rPr>
          <w:rFonts w:ascii="Times New Roman" w:hAnsi="Times New Roman" w:cs="Times New Roman"/>
          <w:sz w:val="24"/>
          <w:szCs w:val="24"/>
        </w:rPr>
        <w:t>ja</w:t>
      </w:r>
      <w:r w:rsidR="000E51A8" w:rsidRPr="005E23D7">
        <w:rPr>
          <w:rFonts w:ascii="Times New Roman" w:hAnsi="Times New Roman" w:cs="Times New Roman"/>
          <w:sz w:val="24"/>
          <w:szCs w:val="24"/>
        </w:rPr>
        <w:t xml:space="preserve"> grozījum</w:t>
      </w:r>
      <w:r w:rsidR="00D4281B" w:rsidRPr="005E23D7">
        <w:rPr>
          <w:rFonts w:ascii="Times New Roman" w:hAnsi="Times New Roman" w:cs="Times New Roman"/>
          <w:sz w:val="24"/>
          <w:szCs w:val="24"/>
        </w:rPr>
        <w:t>us</w:t>
      </w:r>
      <w:r w:rsidR="000E51A8" w:rsidRPr="005E23D7">
        <w:rPr>
          <w:rFonts w:ascii="Times New Roman" w:hAnsi="Times New Roman" w:cs="Times New Roman"/>
          <w:color w:val="000000"/>
          <w:sz w:val="24"/>
          <w:szCs w:val="24"/>
        </w:rPr>
        <w:t xml:space="preserve"> Ministru kabineta 2016. gada 29. marta noteikumos Nr. 179</w:t>
      </w:r>
      <w:r w:rsidR="00D4281B" w:rsidRPr="005E23D7">
        <w:rPr>
          <w:rFonts w:ascii="Times New Roman" w:hAnsi="Times New Roman" w:cs="Times New Roman"/>
          <w:b/>
          <w:bCs/>
          <w:i/>
          <w:iCs/>
          <w:color w:val="000000"/>
          <w:sz w:val="24"/>
          <w:szCs w:val="24"/>
        </w:rPr>
        <w:t xml:space="preserve">, </w:t>
      </w:r>
      <w:r w:rsidR="00D4281B" w:rsidRPr="005E23D7">
        <w:rPr>
          <w:rFonts w:ascii="Times New Roman" w:hAnsi="Times New Roman" w:cs="Times New Roman"/>
          <w:color w:val="000000"/>
          <w:sz w:val="24"/>
          <w:szCs w:val="24"/>
        </w:rPr>
        <w:t>ar kuriem tiek noteikta</w:t>
      </w:r>
      <w:r w:rsidR="000E51A8" w:rsidRPr="005E23D7">
        <w:rPr>
          <w:rFonts w:ascii="Times New Roman" w:hAnsi="Times New Roman" w:cs="Times New Roman"/>
          <w:sz w:val="24"/>
          <w:szCs w:val="24"/>
        </w:rPr>
        <w:t xml:space="preserve"> kārtīb</w:t>
      </w:r>
      <w:r w:rsidR="00D4281B" w:rsidRPr="005E23D7">
        <w:rPr>
          <w:rFonts w:ascii="Times New Roman" w:hAnsi="Times New Roman" w:cs="Times New Roman"/>
          <w:sz w:val="24"/>
          <w:szCs w:val="24"/>
        </w:rPr>
        <w:t>a</w:t>
      </w:r>
      <w:r w:rsidR="000E51A8" w:rsidRPr="005E23D7">
        <w:rPr>
          <w:rFonts w:ascii="Times New Roman" w:hAnsi="Times New Roman" w:cs="Times New Roman"/>
          <w:sz w:val="24"/>
          <w:szCs w:val="24"/>
        </w:rPr>
        <w:t>, kādā Konkurences padome piemēro naudas sodu par Negodīgas tirdzniecības prakses aizlieguma likuma pārkāpumiem un pilnveidotu naudas soda aprēķināšanas un piespiedu naudas aprēķināšanas metodoloģiju par konkurences tiesību pārkāpumiem.</w:t>
      </w:r>
    </w:p>
    <w:p w14:paraId="676EBEB5" w14:textId="77777777" w:rsidR="0063022C" w:rsidRPr="005E23D7" w:rsidRDefault="0063022C" w:rsidP="005E23D7">
      <w:pPr>
        <w:spacing w:after="0" w:line="240" w:lineRule="auto"/>
        <w:jc w:val="both"/>
        <w:rPr>
          <w:rFonts w:ascii="Times New Roman" w:hAnsi="Times New Roman" w:cs="Times New Roman"/>
          <w:sz w:val="24"/>
          <w:szCs w:val="24"/>
        </w:rPr>
      </w:pPr>
    </w:p>
    <w:p w14:paraId="4E6A6B73" w14:textId="2D4BD0CC" w:rsidR="000E51A8" w:rsidRPr="005E23D7" w:rsidRDefault="00D4281B" w:rsidP="005E23D7">
      <w:pPr>
        <w:spacing w:after="0" w:line="240" w:lineRule="auto"/>
        <w:jc w:val="both"/>
        <w:rPr>
          <w:rFonts w:ascii="Times New Roman" w:hAnsi="Times New Roman" w:cs="Times New Roman"/>
          <w:sz w:val="24"/>
          <w:szCs w:val="24"/>
        </w:rPr>
      </w:pPr>
      <w:r w:rsidRPr="005E23D7">
        <w:rPr>
          <w:rFonts w:ascii="Times New Roman" w:hAnsi="Times New Roman" w:cs="Times New Roman"/>
          <w:sz w:val="24"/>
          <w:szCs w:val="24"/>
        </w:rPr>
        <w:t xml:space="preserve">Tāpat </w:t>
      </w:r>
      <w:r w:rsidR="000E51A8" w:rsidRPr="005E23D7">
        <w:rPr>
          <w:rFonts w:ascii="Times New Roman" w:hAnsi="Times New Roman" w:cs="Times New Roman"/>
          <w:sz w:val="24"/>
          <w:szCs w:val="24"/>
        </w:rPr>
        <w:t>apzināt</w:t>
      </w:r>
      <w:r w:rsidRPr="005E23D7">
        <w:rPr>
          <w:rFonts w:ascii="Times New Roman" w:hAnsi="Times New Roman" w:cs="Times New Roman"/>
          <w:sz w:val="24"/>
          <w:szCs w:val="24"/>
        </w:rPr>
        <w:t>i</w:t>
      </w:r>
      <w:r w:rsidR="000E51A8" w:rsidRPr="005E23D7">
        <w:rPr>
          <w:rFonts w:ascii="Times New Roman" w:hAnsi="Times New Roman" w:cs="Times New Roman"/>
          <w:sz w:val="24"/>
          <w:szCs w:val="24"/>
        </w:rPr>
        <w:t xml:space="preserve"> un izvērtēt</w:t>
      </w:r>
      <w:r w:rsidRPr="005E23D7">
        <w:rPr>
          <w:rFonts w:ascii="Times New Roman" w:hAnsi="Times New Roman" w:cs="Times New Roman"/>
          <w:sz w:val="24"/>
          <w:szCs w:val="24"/>
        </w:rPr>
        <w:t>i</w:t>
      </w:r>
      <w:r w:rsidR="000E51A8" w:rsidRPr="005E23D7">
        <w:rPr>
          <w:rFonts w:ascii="Times New Roman" w:hAnsi="Times New Roman" w:cs="Times New Roman"/>
          <w:sz w:val="24"/>
          <w:szCs w:val="24"/>
        </w:rPr>
        <w:t xml:space="preserve"> iespējam</w:t>
      </w:r>
      <w:r w:rsidRPr="005E23D7">
        <w:rPr>
          <w:rFonts w:ascii="Times New Roman" w:hAnsi="Times New Roman" w:cs="Times New Roman"/>
          <w:sz w:val="24"/>
          <w:szCs w:val="24"/>
        </w:rPr>
        <w:t>ie</w:t>
      </w:r>
      <w:r w:rsidR="000E51A8" w:rsidRPr="005E23D7">
        <w:rPr>
          <w:rFonts w:ascii="Times New Roman" w:hAnsi="Times New Roman" w:cs="Times New Roman"/>
          <w:sz w:val="24"/>
          <w:szCs w:val="24"/>
        </w:rPr>
        <w:t xml:space="preserve"> risinājum</w:t>
      </w:r>
      <w:r w:rsidRPr="005E23D7">
        <w:rPr>
          <w:rFonts w:ascii="Times New Roman" w:hAnsi="Times New Roman" w:cs="Times New Roman"/>
          <w:sz w:val="24"/>
          <w:szCs w:val="24"/>
        </w:rPr>
        <w:t>i</w:t>
      </w:r>
      <w:r w:rsidR="000E51A8" w:rsidRPr="005E23D7">
        <w:rPr>
          <w:rFonts w:ascii="Times New Roman" w:hAnsi="Times New Roman" w:cs="Times New Roman"/>
          <w:sz w:val="24"/>
          <w:szCs w:val="24"/>
        </w:rPr>
        <w:t xml:space="preserve"> </w:t>
      </w:r>
      <w:r w:rsidR="000E51A8" w:rsidRPr="005E23D7">
        <w:rPr>
          <w:rFonts w:ascii="Times New Roman" w:hAnsi="Times New Roman" w:cs="Times New Roman"/>
          <w:sz w:val="24"/>
          <w:szCs w:val="24"/>
          <w:u w:val="single"/>
        </w:rPr>
        <w:t>centralizēta zaudējumu atlīdzināšanas mehānisma,</w:t>
      </w:r>
      <w:r w:rsidR="000E51A8" w:rsidRPr="005E23D7">
        <w:rPr>
          <w:rFonts w:ascii="Times New Roman" w:hAnsi="Times New Roman" w:cs="Times New Roman"/>
          <w:sz w:val="24"/>
          <w:szCs w:val="24"/>
        </w:rPr>
        <w:t xml:space="preserve"> kādā publisko pasūtītāju vārdā varētu tikt atgūti no tirgus dalībniekiem konkurences tiesību pārkāpumu rezultātā radītie zaudējumi, ieviešanai, lai nodrošinātu likumā noteikto valsts un pašvaldības tiesību un interešu aizsardzību. </w:t>
      </w:r>
    </w:p>
    <w:p w14:paraId="36898D32" w14:textId="77777777" w:rsidR="005E23D7" w:rsidRDefault="005E23D7" w:rsidP="005E23D7">
      <w:pPr>
        <w:spacing w:after="0" w:line="240" w:lineRule="auto"/>
        <w:jc w:val="both"/>
        <w:rPr>
          <w:rFonts w:ascii="Times New Roman" w:hAnsi="Times New Roman" w:cs="Times New Roman"/>
          <w:sz w:val="24"/>
          <w:szCs w:val="24"/>
        </w:rPr>
      </w:pPr>
    </w:p>
    <w:p w14:paraId="63A8FDE8" w14:textId="0C80715C" w:rsidR="000E51A8" w:rsidRPr="005E23D7" w:rsidRDefault="00746DF9" w:rsidP="005E23D7">
      <w:pPr>
        <w:spacing w:after="0" w:line="240" w:lineRule="auto"/>
        <w:jc w:val="both"/>
        <w:rPr>
          <w:rFonts w:ascii="Times New Roman" w:hAnsi="Times New Roman" w:cs="Times New Roman"/>
          <w:sz w:val="24"/>
          <w:szCs w:val="24"/>
        </w:rPr>
      </w:pPr>
      <w:r w:rsidRPr="005E23D7">
        <w:rPr>
          <w:rFonts w:ascii="Times New Roman" w:hAnsi="Times New Roman" w:cs="Times New Roman"/>
          <w:sz w:val="24"/>
          <w:szCs w:val="24"/>
        </w:rPr>
        <w:t xml:space="preserve">Stiprinot nacionālas akreditācijas institūcijas kapacitāti, </w:t>
      </w:r>
      <w:r w:rsidR="000E51A8" w:rsidRPr="005E23D7">
        <w:rPr>
          <w:rFonts w:ascii="Times New Roman" w:hAnsi="Times New Roman" w:cs="Times New Roman"/>
          <w:sz w:val="24"/>
          <w:szCs w:val="24"/>
        </w:rPr>
        <w:t>pārstrādā</w:t>
      </w:r>
      <w:r w:rsidRPr="005E23D7">
        <w:rPr>
          <w:rFonts w:ascii="Times New Roman" w:hAnsi="Times New Roman" w:cs="Times New Roman"/>
          <w:sz w:val="24"/>
          <w:szCs w:val="24"/>
        </w:rPr>
        <w:t>ts</w:t>
      </w:r>
      <w:r w:rsidR="000E51A8" w:rsidRPr="005E23D7">
        <w:rPr>
          <w:rFonts w:ascii="Times New Roman" w:hAnsi="Times New Roman" w:cs="Times New Roman"/>
          <w:sz w:val="24"/>
          <w:szCs w:val="24"/>
        </w:rPr>
        <w:t xml:space="preserve"> un pilnveido</w:t>
      </w:r>
      <w:r w:rsidRPr="005E23D7">
        <w:rPr>
          <w:rFonts w:ascii="Times New Roman" w:hAnsi="Times New Roman" w:cs="Times New Roman"/>
          <w:sz w:val="24"/>
          <w:szCs w:val="24"/>
        </w:rPr>
        <w:t xml:space="preserve">ts Valsts aģentūras </w:t>
      </w:r>
      <w:r w:rsidRPr="005E23D7">
        <w:rPr>
          <w:rFonts w:ascii="Times New Roman" w:hAnsi="Times New Roman" w:cs="Times New Roman"/>
          <w:sz w:val="24"/>
          <w:szCs w:val="24"/>
          <w:u w:val="single"/>
        </w:rPr>
        <w:t xml:space="preserve">"Latvijas Nacionālais akreditācijas birojs" </w:t>
      </w:r>
      <w:r w:rsidR="000E51A8" w:rsidRPr="005E23D7">
        <w:rPr>
          <w:rFonts w:ascii="Times New Roman" w:hAnsi="Times New Roman" w:cs="Times New Roman"/>
          <w:sz w:val="24"/>
          <w:szCs w:val="24"/>
          <w:u w:val="single"/>
        </w:rPr>
        <w:t>sniegto maksas pakalpojumu cenrādi</w:t>
      </w:r>
      <w:r w:rsidRPr="005E23D7">
        <w:rPr>
          <w:rFonts w:ascii="Times New Roman" w:hAnsi="Times New Roman" w:cs="Times New Roman"/>
          <w:sz w:val="24"/>
          <w:szCs w:val="24"/>
          <w:u w:val="single"/>
        </w:rPr>
        <w:t>s</w:t>
      </w:r>
      <w:r w:rsidR="000E51A8" w:rsidRPr="005E23D7">
        <w:rPr>
          <w:rFonts w:ascii="Times New Roman" w:hAnsi="Times New Roman" w:cs="Times New Roman"/>
          <w:sz w:val="24"/>
          <w:szCs w:val="24"/>
          <w:u w:val="single"/>
        </w:rPr>
        <w:t>,</w:t>
      </w:r>
      <w:r w:rsidR="000E51A8" w:rsidRPr="005E23D7">
        <w:rPr>
          <w:rFonts w:ascii="Times New Roman" w:hAnsi="Times New Roman" w:cs="Times New Roman"/>
          <w:sz w:val="24"/>
          <w:szCs w:val="24"/>
        </w:rPr>
        <w:t xml:space="preserve"> kas stāties spēkā ar 2023.gada 1.janvāri. Aģentūras sniegto maksas pakalpojumu cenrādis </w:t>
      </w:r>
      <w:r w:rsidRPr="005E23D7">
        <w:rPr>
          <w:rFonts w:ascii="Times New Roman" w:hAnsi="Times New Roman" w:cs="Times New Roman"/>
          <w:sz w:val="24"/>
          <w:szCs w:val="24"/>
        </w:rPr>
        <w:t>būs</w:t>
      </w:r>
      <w:r w:rsidR="000E51A8" w:rsidRPr="005E23D7">
        <w:rPr>
          <w:rFonts w:ascii="Times New Roman" w:hAnsi="Times New Roman" w:cs="Times New Roman"/>
          <w:sz w:val="24"/>
          <w:szCs w:val="24"/>
        </w:rPr>
        <w:t xml:space="preserve"> vieglāk administrējam</w:t>
      </w:r>
      <w:r w:rsidRPr="005E23D7">
        <w:rPr>
          <w:rFonts w:ascii="Times New Roman" w:hAnsi="Times New Roman" w:cs="Times New Roman"/>
          <w:sz w:val="24"/>
          <w:szCs w:val="24"/>
        </w:rPr>
        <w:t>s</w:t>
      </w:r>
      <w:r w:rsidR="000E51A8" w:rsidRPr="005E23D7">
        <w:rPr>
          <w:rFonts w:ascii="Times New Roman" w:hAnsi="Times New Roman" w:cs="Times New Roman"/>
          <w:sz w:val="24"/>
          <w:szCs w:val="24"/>
        </w:rPr>
        <w:t xml:space="preserve"> un klientiem vieglāk saprotam</w:t>
      </w:r>
      <w:r w:rsidRPr="005E23D7">
        <w:rPr>
          <w:rFonts w:ascii="Times New Roman" w:hAnsi="Times New Roman" w:cs="Times New Roman"/>
          <w:sz w:val="24"/>
          <w:szCs w:val="24"/>
        </w:rPr>
        <w:t>s</w:t>
      </w:r>
      <w:r w:rsidR="000E51A8" w:rsidRPr="005E23D7">
        <w:rPr>
          <w:rFonts w:ascii="Times New Roman" w:hAnsi="Times New Roman" w:cs="Times New Roman"/>
          <w:sz w:val="24"/>
          <w:szCs w:val="24"/>
        </w:rPr>
        <w:t>. Vienlaikus, tiek palielināta maksa par Aģentūras sniegtajiem maksas pakalpojumiem, lai nodrošinātu, ka cenu politika atbilst Aģentūras pakalpojumu izveides un sniegšanas, kvalitātes un attīstības nodrošināšanas izmaksu apjomam, kā arī veicina pilnvērtīgu Aģentūras darbības un attīstības mērķu sasniegšanu.</w:t>
      </w:r>
    </w:p>
    <w:p w14:paraId="18D17FB3" w14:textId="77777777" w:rsidR="00CD19BD" w:rsidRPr="005E23D7" w:rsidRDefault="00CD19BD" w:rsidP="005E23D7">
      <w:pPr>
        <w:spacing w:after="0" w:line="240" w:lineRule="auto"/>
        <w:jc w:val="both"/>
        <w:rPr>
          <w:rFonts w:ascii="Times New Roman" w:hAnsi="Times New Roman" w:cs="Times New Roman"/>
          <w:strike/>
          <w:sz w:val="24"/>
          <w:szCs w:val="24"/>
        </w:rPr>
      </w:pPr>
    </w:p>
    <w:p w14:paraId="66C64BD4" w14:textId="4EE741BB" w:rsidR="000E51A8" w:rsidRPr="005E23D7" w:rsidRDefault="00B16B36" w:rsidP="005E23D7">
      <w:pPr>
        <w:spacing w:after="0" w:line="240" w:lineRule="auto"/>
        <w:jc w:val="both"/>
        <w:rPr>
          <w:rFonts w:ascii="Times New Roman" w:hAnsi="Times New Roman" w:cs="Times New Roman"/>
          <w:sz w:val="24"/>
          <w:szCs w:val="24"/>
          <w:highlight w:val="yellow"/>
        </w:rPr>
      </w:pPr>
      <w:r w:rsidRPr="005E23D7">
        <w:rPr>
          <w:rFonts w:ascii="Times New Roman" w:hAnsi="Times New Roman" w:cs="Times New Roman"/>
          <w:sz w:val="24"/>
          <w:szCs w:val="24"/>
          <w:u w:val="single"/>
        </w:rPr>
        <w:t>B</w:t>
      </w:r>
      <w:r w:rsidR="000E51A8" w:rsidRPr="005E23D7">
        <w:rPr>
          <w:rFonts w:ascii="Times New Roman" w:hAnsi="Times New Roman" w:cs="Times New Roman"/>
          <w:sz w:val="24"/>
          <w:szCs w:val="24"/>
          <w:u w:val="single"/>
        </w:rPr>
        <w:t xml:space="preserve">īstamo iekārtu tehniskās uzraudzības </w:t>
      </w:r>
      <w:r w:rsidR="00EF2215" w:rsidRPr="005E23D7">
        <w:rPr>
          <w:rFonts w:ascii="Times New Roman" w:hAnsi="Times New Roman" w:cs="Times New Roman"/>
          <w:sz w:val="24"/>
          <w:szCs w:val="24"/>
          <w:u w:val="single"/>
        </w:rPr>
        <w:t>pilnveidošanai</w:t>
      </w:r>
      <w:r w:rsidR="00EF2215" w:rsidRPr="005E23D7">
        <w:rPr>
          <w:rFonts w:ascii="Times New Roman" w:hAnsi="Times New Roman" w:cs="Times New Roman"/>
          <w:sz w:val="24"/>
          <w:szCs w:val="24"/>
        </w:rPr>
        <w:t xml:space="preserve"> </w:t>
      </w:r>
      <w:r w:rsidR="000E51A8" w:rsidRPr="005E23D7">
        <w:rPr>
          <w:rFonts w:ascii="Times New Roman" w:hAnsi="Times New Roman" w:cs="Times New Roman"/>
          <w:sz w:val="24"/>
          <w:szCs w:val="24"/>
        </w:rPr>
        <w:t>uzlabo</w:t>
      </w:r>
      <w:r w:rsidR="00EF2215" w:rsidRPr="005E23D7">
        <w:rPr>
          <w:rFonts w:ascii="Times New Roman" w:hAnsi="Times New Roman" w:cs="Times New Roman"/>
          <w:sz w:val="24"/>
          <w:szCs w:val="24"/>
        </w:rPr>
        <w:t>ts</w:t>
      </w:r>
      <w:r w:rsidR="000E51A8" w:rsidRPr="005E23D7">
        <w:rPr>
          <w:rFonts w:ascii="Times New Roman" w:hAnsi="Times New Roman" w:cs="Times New Roman"/>
          <w:sz w:val="24"/>
          <w:szCs w:val="24"/>
        </w:rPr>
        <w:t xml:space="preserve"> normatīvais regulējums kravas celtņiem, </w:t>
      </w:r>
      <w:r w:rsidR="00EF2215" w:rsidRPr="005E23D7">
        <w:rPr>
          <w:rFonts w:ascii="Times New Roman" w:hAnsi="Times New Roman" w:cs="Times New Roman"/>
          <w:sz w:val="24"/>
          <w:szCs w:val="24"/>
        </w:rPr>
        <w:t>lai</w:t>
      </w:r>
      <w:r w:rsidR="000E51A8" w:rsidRPr="005E23D7">
        <w:rPr>
          <w:rFonts w:ascii="Times New Roman" w:hAnsi="Times New Roman" w:cs="Times New Roman"/>
          <w:sz w:val="24"/>
          <w:szCs w:val="24"/>
        </w:rPr>
        <w:t xml:space="preserve"> nodrošin</w:t>
      </w:r>
      <w:r w:rsidR="00EF2215" w:rsidRPr="005E23D7">
        <w:rPr>
          <w:rFonts w:ascii="Times New Roman" w:hAnsi="Times New Roman" w:cs="Times New Roman"/>
          <w:sz w:val="24"/>
          <w:szCs w:val="24"/>
        </w:rPr>
        <w:t>ātu</w:t>
      </w:r>
      <w:r w:rsidR="000E51A8" w:rsidRPr="005E23D7">
        <w:rPr>
          <w:rFonts w:ascii="Times New Roman" w:hAnsi="Times New Roman" w:cs="Times New Roman"/>
          <w:sz w:val="24"/>
          <w:szCs w:val="24"/>
        </w:rPr>
        <w:t xml:space="preserve"> drošu, cilvēku dzīvībai, veselībai un īpašumam, kā arī videi nekaitīgu kravas celtņa lietošanu un uzturēšanu</w:t>
      </w:r>
      <w:r w:rsidRPr="005E23D7">
        <w:rPr>
          <w:rFonts w:ascii="Times New Roman" w:hAnsi="Times New Roman" w:cs="Times New Roman"/>
          <w:sz w:val="24"/>
          <w:szCs w:val="24"/>
        </w:rPr>
        <w:t xml:space="preserve">. Jaunie </w:t>
      </w:r>
      <w:r w:rsidR="000E51A8" w:rsidRPr="005E23D7">
        <w:rPr>
          <w:rFonts w:ascii="Times New Roman" w:hAnsi="Times New Roman" w:cs="Times New Roman"/>
          <w:sz w:val="24"/>
          <w:szCs w:val="24"/>
        </w:rPr>
        <w:t xml:space="preserve"> </w:t>
      </w:r>
      <w:r w:rsidRPr="005E23D7">
        <w:rPr>
          <w:rFonts w:ascii="Times New Roman" w:hAnsi="Times New Roman" w:cs="Times New Roman"/>
          <w:sz w:val="24"/>
          <w:szCs w:val="24"/>
        </w:rPr>
        <w:t>k</w:t>
      </w:r>
      <w:r w:rsidR="000E51A8" w:rsidRPr="005E23D7">
        <w:rPr>
          <w:rFonts w:ascii="Times New Roman" w:hAnsi="Times New Roman" w:cs="Times New Roman"/>
          <w:sz w:val="24"/>
          <w:szCs w:val="24"/>
        </w:rPr>
        <w:t xml:space="preserve">ravas celtņu drošības un tehniskās uzraudzības noteikumi stāsies spēkā 2023.gada 1.maijā. </w:t>
      </w:r>
      <w:r w:rsidRPr="005E23D7">
        <w:rPr>
          <w:rFonts w:ascii="Times New Roman" w:hAnsi="Times New Roman" w:cs="Times New Roman"/>
          <w:sz w:val="24"/>
          <w:szCs w:val="24"/>
        </w:rPr>
        <w:t xml:space="preserve">Tāpat, lai nodrošinātu </w:t>
      </w:r>
      <w:r w:rsidR="000E51A8" w:rsidRPr="005E23D7">
        <w:rPr>
          <w:rFonts w:ascii="Times New Roman" w:hAnsi="Times New Roman" w:cs="Times New Roman"/>
          <w:sz w:val="24"/>
          <w:szCs w:val="24"/>
        </w:rPr>
        <w:t xml:space="preserve">vertikālajām cēlējplatformām atbilstību apliecinošu dokumentāciju, ir izstrādāti </w:t>
      </w:r>
      <w:r w:rsidRPr="005E23D7">
        <w:rPr>
          <w:rFonts w:ascii="Times New Roman" w:hAnsi="Times New Roman" w:cs="Times New Roman"/>
          <w:sz w:val="24"/>
          <w:szCs w:val="24"/>
        </w:rPr>
        <w:t>grozījumi</w:t>
      </w:r>
      <w:r w:rsidR="000E51A8" w:rsidRPr="005E23D7">
        <w:rPr>
          <w:rFonts w:ascii="Times New Roman" w:hAnsi="Times New Roman" w:cs="Times New Roman"/>
          <w:sz w:val="24"/>
          <w:szCs w:val="24"/>
        </w:rPr>
        <w:t xml:space="preserve"> </w:t>
      </w:r>
      <w:r w:rsidRPr="005E23D7">
        <w:rPr>
          <w:rFonts w:ascii="Times New Roman" w:hAnsi="Times New Roman" w:cs="Times New Roman"/>
          <w:sz w:val="24"/>
          <w:szCs w:val="24"/>
        </w:rPr>
        <w:t>n</w:t>
      </w:r>
      <w:r w:rsidR="000E51A8" w:rsidRPr="005E23D7">
        <w:rPr>
          <w:rFonts w:ascii="Times New Roman" w:hAnsi="Times New Roman" w:cs="Times New Roman"/>
          <w:sz w:val="24"/>
          <w:szCs w:val="24"/>
        </w:rPr>
        <w:t>oteikum</w:t>
      </w:r>
      <w:r w:rsidRPr="005E23D7">
        <w:rPr>
          <w:rFonts w:ascii="Times New Roman" w:hAnsi="Times New Roman" w:cs="Times New Roman"/>
          <w:sz w:val="24"/>
          <w:szCs w:val="24"/>
        </w:rPr>
        <w:t xml:space="preserve">os </w:t>
      </w:r>
      <w:r w:rsidR="000E51A8" w:rsidRPr="005E23D7">
        <w:rPr>
          <w:rFonts w:ascii="Times New Roman" w:hAnsi="Times New Roman" w:cs="Times New Roman"/>
          <w:sz w:val="24"/>
          <w:szCs w:val="24"/>
        </w:rPr>
        <w:t>par bīstamo iekārtu reģistrāciju</w:t>
      </w:r>
      <w:r w:rsidR="00EF2215" w:rsidRPr="005E23D7">
        <w:rPr>
          <w:rFonts w:ascii="Times New Roman" w:hAnsi="Times New Roman" w:cs="Times New Roman"/>
          <w:sz w:val="24"/>
          <w:szCs w:val="24"/>
        </w:rPr>
        <w:t>.</w:t>
      </w:r>
    </w:p>
    <w:p w14:paraId="6057E772" w14:textId="1E970FA1" w:rsidR="000E51A8" w:rsidRPr="005E23D7" w:rsidRDefault="000E51A8" w:rsidP="005E23D7">
      <w:pPr>
        <w:spacing w:after="0" w:line="240" w:lineRule="auto"/>
        <w:jc w:val="both"/>
        <w:rPr>
          <w:rFonts w:ascii="Times New Roman" w:hAnsi="Times New Roman" w:cs="Times New Roman"/>
          <w:sz w:val="24"/>
          <w:szCs w:val="24"/>
        </w:rPr>
      </w:pPr>
    </w:p>
    <w:p w14:paraId="49D0B667" w14:textId="09E4EE09" w:rsidR="00F50F2D" w:rsidRPr="005E23D7" w:rsidRDefault="00EF2215" w:rsidP="005E23D7">
      <w:pPr>
        <w:pStyle w:val="ListParagraph"/>
        <w:spacing w:after="0" w:line="240" w:lineRule="auto"/>
        <w:ind w:left="0"/>
        <w:contextualSpacing w:val="0"/>
        <w:jc w:val="both"/>
        <w:rPr>
          <w:b/>
          <w:bCs/>
        </w:rPr>
      </w:pPr>
      <w:r w:rsidRPr="005E23D7">
        <w:rPr>
          <w:b/>
          <w:bCs/>
        </w:rPr>
        <w:t xml:space="preserve">ES </w:t>
      </w:r>
      <w:r w:rsidR="00F50F2D" w:rsidRPr="005E23D7">
        <w:rPr>
          <w:b/>
          <w:bCs/>
        </w:rPr>
        <w:t>Vienot</w:t>
      </w:r>
      <w:r w:rsidRPr="005E23D7">
        <w:rPr>
          <w:b/>
          <w:bCs/>
        </w:rPr>
        <w:t>ā</w:t>
      </w:r>
      <w:r w:rsidR="00F50F2D" w:rsidRPr="005E23D7">
        <w:rPr>
          <w:b/>
          <w:bCs/>
        </w:rPr>
        <w:t xml:space="preserve"> tirgus</w:t>
      </w:r>
      <w:r w:rsidRPr="005E23D7">
        <w:rPr>
          <w:b/>
          <w:bCs/>
        </w:rPr>
        <w:t xml:space="preserve"> jautājumi</w:t>
      </w:r>
    </w:p>
    <w:p w14:paraId="74782FF6" w14:textId="77777777" w:rsidR="005E23D7" w:rsidRDefault="005E23D7" w:rsidP="005E23D7">
      <w:pPr>
        <w:pStyle w:val="ListParagraph"/>
        <w:spacing w:after="0" w:line="240" w:lineRule="auto"/>
        <w:ind w:left="0"/>
        <w:contextualSpacing w:val="0"/>
        <w:jc w:val="both"/>
        <w:rPr>
          <w:rFonts w:eastAsia="Times New Roman"/>
        </w:rPr>
      </w:pPr>
    </w:p>
    <w:p w14:paraId="66F26B87" w14:textId="535B6680" w:rsidR="00F50F2D" w:rsidRPr="005E23D7" w:rsidRDefault="00EF2215" w:rsidP="005E23D7">
      <w:pPr>
        <w:pStyle w:val="ListParagraph"/>
        <w:spacing w:after="0" w:line="240" w:lineRule="auto"/>
        <w:ind w:left="0"/>
        <w:contextualSpacing w:val="0"/>
        <w:jc w:val="both"/>
        <w:rPr>
          <w:rFonts w:eastAsia="Times New Roman"/>
        </w:rPr>
      </w:pPr>
      <w:r w:rsidRPr="005E23D7">
        <w:rPr>
          <w:rFonts w:eastAsia="Times New Roman"/>
        </w:rPr>
        <w:t>P</w:t>
      </w:r>
      <w:r w:rsidR="00F50F2D" w:rsidRPr="005E23D7">
        <w:rPr>
          <w:rFonts w:eastAsia="Times New Roman"/>
        </w:rPr>
        <w:t xml:space="preserve">ieņemts </w:t>
      </w:r>
      <w:hyperlink r:id="rId9" w:history="1">
        <w:r w:rsidR="00F50F2D" w:rsidRPr="005E23D7">
          <w:rPr>
            <w:rStyle w:val="Hyperlink"/>
            <w:rFonts w:eastAsia="Times New Roman"/>
          </w:rPr>
          <w:t xml:space="preserve">ES </w:t>
        </w:r>
        <w:proofErr w:type="spellStart"/>
        <w:r w:rsidR="00F50F2D" w:rsidRPr="005E23D7">
          <w:rPr>
            <w:rStyle w:val="Hyperlink"/>
            <w:rFonts w:eastAsia="Times New Roman"/>
          </w:rPr>
          <w:t>ekodizaina</w:t>
        </w:r>
        <w:proofErr w:type="spellEnd"/>
        <w:r w:rsidR="00F50F2D" w:rsidRPr="005E23D7">
          <w:rPr>
            <w:rStyle w:val="Hyperlink"/>
            <w:rFonts w:eastAsia="Times New Roman"/>
          </w:rPr>
          <w:t xml:space="preserve"> un </w:t>
        </w:r>
        <w:proofErr w:type="spellStart"/>
        <w:r w:rsidR="00F50F2D" w:rsidRPr="005E23D7">
          <w:rPr>
            <w:rStyle w:val="Hyperlink"/>
            <w:rFonts w:eastAsia="Times New Roman"/>
          </w:rPr>
          <w:t>energomarķējuma</w:t>
        </w:r>
        <w:proofErr w:type="spellEnd"/>
        <w:r w:rsidR="00F50F2D" w:rsidRPr="005E23D7">
          <w:rPr>
            <w:rStyle w:val="Hyperlink"/>
            <w:rFonts w:eastAsia="Times New Roman"/>
          </w:rPr>
          <w:t xml:space="preserve"> darba plāns 2022.–2024. gadam</w:t>
        </w:r>
      </w:hyperlink>
      <w:r w:rsidRPr="005E23D7">
        <w:rPr>
          <w:rFonts w:eastAsia="Times New Roman"/>
        </w:rPr>
        <w:t>,</w:t>
      </w:r>
      <w:r w:rsidR="00F50F2D" w:rsidRPr="005E23D7">
        <w:rPr>
          <w:rFonts w:eastAsia="Times New Roman"/>
        </w:rPr>
        <w:t xml:space="preserve"> </w:t>
      </w:r>
      <w:r w:rsidRPr="005E23D7">
        <w:rPr>
          <w:rFonts w:eastAsia="Times New Roman"/>
        </w:rPr>
        <w:t xml:space="preserve">kas </w:t>
      </w:r>
      <w:r w:rsidR="00F50F2D" w:rsidRPr="005E23D7">
        <w:rPr>
          <w:rFonts w:eastAsia="Times New Roman"/>
        </w:rPr>
        <w:t xml:space="preserve">paredz pārskatīt šobrīd spēkā esošos </w:t>
      </w:r>
      <w:proofErr w:type="spellStart"/>
      <w:r w:rsidR="00F50F2D" w:rsidRPr="005E23D7">
        <w:rPr>
          <w:rFonts w:eastAsia="Times New Roman"/>
        </w:rPr>
        <w:t>ekodizaina</w:t>
      </w:r>
      <w:proofErr w:type="spellEnd"/>
      <w:r w:rsidR="00F50F2D" w:rsidRPr="005E23D7">
        <w:rPr>
          <w:rFonts w:eastAsia="Times New Roman"/>
        </w:rPr>
        <w:t xml:space="preserve"> un </w:t>
      </w:r>
      <w:proofErr w:type="spellStart"/>
      <w:r w:rsidR="00F50F2D" w:rsidRPr="005E23D7">
        <w:rPr>
          <w:rFonts w:eastAsia="Times New Roman"/>
        </w:rPr>
        <w:t>energomarķējuma</w:t>
      </w:r>
      <w:proofErr w:type="spellEnd"/>
      <w:r w:rsidR="00F50F2D" w:rsidRPr="005E23D7">
        <w:rPr>
          <w:rFonts w:eastAsia="Times New Roman"/>
        </w:rPr>
        <w:t xml:space="preserve"> noteikumus un standartus virknei produktu grupu, tostarp, apkures un dzesēšanas ierīcēm, displejiem, datoriem un serveriem.</w:t>
      </w:r>
    </w:p>
    <w:p w14:paraId="72E204F5" w14:textId="77777777" w:rsidR="0063022C" w:rsidRPr="005E23D7" w:rsidRDefault="0063022C" w:rsidP="005E23D7">
      <w:pPr>
        <w:pStyle w:val="ListParagraph"/>
        <w:spacing w:after="0" w:line="240" w:lineRule="auto"/>
        <w:ind w:left="0"/>
        <w:contextualSpacing w:val="0"/>
        <w:jc w:val="both"/>
        <w:rPr>
          <w:rFonts w:eastAsia="Times New Roman"/>
        </w:rPr>
      </w:pPr>
    </w:p>
    <w:p w14:paraId="7D13F946" w14:textId="63E52AC1" w:rsidR="00F50F2D" w:rsidRPr="005E23D7" w:rsidRDefault="00EF2215" w:rsidP="005E23D7">
      <w:pPr>
        <w:pStyle w:val="ListParagraph"/>
        <w:spacing w:after="0" w:line="240" w:lineRule="auto"/>
        <w:ind w:left="0"/>
        <w:contextualSpacing w:val="0"/>
        <w:jc w:val="both"/>
      </w:pPr>
      <w:r w:rsidRPr="005E23D7">
        <w:t>Atzīmējot SOLVIT tīkla 20 gadu jubileju, l</w:t>
      </w:r>
      <w:r w:rsidR="00F50F2D" w:rsidRPr="005E23D7">
        <w:t>ai popularizētu SOLVIT rīku un tā sniegtās priekšrocības</w:t>
      </w:r>
      <w:r w:rsidRPr="005E23D7">
        <w:t xml:space="preserve">, </w:t>
      </w:r>
      <w:r w:rsidR="00F50F2D" w:rsidRPr="005E23D7">
        <w:t xml:space="preserve">publicēts </w:t>
      </w:r>
      <w:hyperlink r:id="rId10" w:history="1">
        <w:r w:rsidR="00F50F2D" w:rsidRPr="005E23D7">
          <w:rPr>
            <w:rStyle w:val="Hyperlink"/>
          </w:rPr>
          <w:t>Latvijas SOLVIT centra pārskats par uzņēmēju lietām 2019.-2021. gadā</w:t>
        </w:r>
      </w:hyperlink>
      <w:r w:rsidR="00F50F2D" w:rsidRPr="005E23D7">
        <w:t>. Pārskats sniedz vērtīgu informāciju par izskatītajām uzņēmēju sūdzībām, kas radušās citu ES dalībvalstu iestādēm nepareizi piemērojot ES tiesību normas.</w:t>
      </w:r>
    </w:p>
    <w:p w14:paraId="69A622C6" w14:textId="77777777" w:rsidR="0063022C" w:rsidRPr="005E23D7" w:rsidRDefault="0063022C" w:rsidP="005E23D7">
      <w:pPr>
        <w:pStyle w:val="ListParagraph"/>
        <w:spacing w:after="0" w:line="240" w:lineRule="auto"/>
        <w:ind w:left="0"/>
        <w:contextualSpacing w:val="0"/>
        <w:jc w:val="both"/>
      </w:pPr>
    </w:p>
    <w:p w14:paraId="024EED77" w14:textId="2590FF04" w:rsidR="00F50F2D" w:rsidRPr="005E23D7" w:rsidRDefault="00EF2215" w:rsidP="005E23D7">
      <w:pPr>
        <w:pStyle w:val="ListParagraph"/>
        <w:spacing w:after="0" w:line="240" w:lineRule="auto"/>
        <w:ind w:left="0"/>
        <w:contextualSpacing w:val="0"/>
        <w:jc w:val="both"/>
      </w:pPr>
      <w:r w:rsidRPr="005E23D7">
        <w:t xml:space="preserve">Lai noskaidrotu, kā labāk </w:t>
      </w:r>
      <w:r w:rsidRPr="005E23D7">
        <w:rPr>
          <w:u w:val="single"/>
        </w:rPr>
        <w:t>sekmēt sabiedrības iesaisti Eiropas Savienības tiesību aktu izstrādē,</w:t>
      </w:r>
      <w:r w:rsidRPr="005E23D7">
        <w:t xml:space="preserve"> a</w:t>
      </w:r>
      <w:r w:rsidR="00F50F2D" w:rsidRPr="005E23D7">
        <w:t>ptauj</w:t>
      </w:r>
      <w:r w:rsidRPr="005E23D7">
        <w:t xml:space="preserve">āti Latvijas uzņēmēji, to pārstāvošās organizācijas, sociālie un sadarbības partneri, kā arī iedzīvotāji. </w:t>
      </w:r>
      <w:r w:rsidR="00F50F2D" w:rsidRPr="005E23D7">
        <w:t xml:space="preserve">Pamatojoties uz iegūtajiem rezultātiem, </w:t>
      </w:r>
      <w:r w:rsidR="00F50F2D" w:rsidRPr="005E23D7">
        <w:lastRenderedPageBreak/>
        <w:t>2023.gadā ir plānots īstenot sabiedrības informēšanas kampaņu</w:t>
      </w:r>
      <w:r w:rsidRPr="005E23D7">
        <w:t>, lai veicinātu Latvijas aktīvāku iesaisti Eiropas Komisijas rīkotajās sabiedriskajās apspriešanās</w:t>
      </w:r>
      <w:r w:rsidR="00F50F2D" w:rsidRPr="005E23D7">
        <w:t>.</w:t>
      </w:r>
    </w:p>
    <w:p w14:paraId="37762BF5" w14:textId="1448C65F" w:rsidR="0063022C" w:rsidRPr="005E23D7" w:rsidRDefault="0063022C" w:rsidP="005E23D7">
      <w:pPr>
        <w:spacing w:after="0" w:line="240" w:lineRule="auto"/>
        <w:jc w:val="both"/>
        <w:rPr>
          <w:rFonts w:ascii="Times New Roman" w:hAnsi="Times New Roman" w:cs="Times New Roman"/>
          <w:b/>
          <w:bCs/>
          <w:sz w:val="24"/>
          <w:szCs w:val="24"/>
        </w:rPr>
      </w:pPr>
    </w:p>
    <w:p w14:paraId="66DBDD5B" w14:textId="1CD86943" w:rsidR="00F50F2D" w:rsidRPr="005E23D7" w:rsidRDefault="00F50F2D" w:rsidP="005E23D7">
      <w:pPr>
        <w:spacing w:after="0" w:line="240" w:lineRule="auto"/>
        <w:jc w:val="both"/>
        <w:rPr>
          <w:rFonts w:ascii="Times New Roman" w:hAnsi="Times New Roman" w:cs="Times New Roman"/>
          <w:sz w:val="24"/>
          <w:szCs w:val="24"/>
        </w:rPr>
      </w:pPr>
      <w:r w:rsidRPr="005E23D7">
        <w:rPr>
          <w:rFonts w:ascii="Times New Roman" w:hAnsi="Times New Roman" w:cs="Times New Roman"/>
          <w:b/>
          <w:bCs/>
          <w:sz w:val="24"/>
          <w:szCs w:val="24"/>
        </w:rPr>
        <w:t>Ārēj</w:t>
      </w:r>
      <w:r w:rsidR="00EF2215" w:rsidRPr="005E23D7">
        <w:rPr>
          <w:rFonts w:ascii="Times New Roman" w:hAnsi="Times New Roman" w:cs="Times New Roman"/>
          <w:b/>
          <w:bCs/>
          <w:sz w:val="24"/>
          <w:szCs w:val="24"/>
        </w:rPr>
        <w:t>o</w:t>
      </w:r>
      <w:r w:rsidRPr="005E23D7">
        <w:rPr>
          <w:rFonts w:ascii="Times New Roman" w:hAnsi="Times New Roman" w:cs="Times New Roman"/>
          <w:b/>
          <w:bCs/>
          <w:sz w:val="24"/>
          <w:szCs w:val="24"/>
        </w:rPr>
        <w:t xml:space="preserve"> ekonomisk</w:t>
      </w:r>
      <w:r w:rsidR="00EF2215" w:rsidRPr="005E23D7">
        <w:rPr>
          <w:rFonts w:ascii="Times New Roman" w:hAnsi="Times New Roman" w:cs="Times New Roman"/>
          <w:b/>
          <w:bCs/>
          <w:sz w:val="24"/>
          <w:szCs w:val="24"/>
        </w:rPr>
        <w:t>o</w:t>
      </w:r>
      <w:r w:rsidRPr="005E23D7">
        <w:rPr>
          <w:rFonts w:ascii="Times New Roman" w:hAnsi="Times New Roman" w:cs="Times New Roman"/>
          <w:b/>
          <w:bCs/>
          <w:sz w:val="24"/>
          <w:szCs w:val="24"/>
        </w:rPr>
        <w:t xml:space="preserve"> attiecīb</w:t>
      </w:r>
      <w:r w:rsidR="00EF2215" w:rsidRPr="005E23D7">
        <w:rPr>
          <w:rFonts w:ascii="Times New Roman" w:hAnsi="Times New Roman" w:cs="Times New Roman"/>
          <w:b/>
          <w:bCs/>
          <w:sz w:val="24"/>
          <w:szCs w:val="24"/>
        </w:rPr>
        <w:t xml:space="preserve">u stiprināšanai </w:t>
      </w:r>
      <w:r w:rsidR="00EF2215" w:rsidRPr="005E23D7">
        <w:rPr>
          <w:rFonts w:ascii="Times New Roman" w:hAnsi="Times New Roman" w:cs="Times New Roman"/>
          <w:sz w:val="24"/>
          <w:szCs w:val="24"/>
        </w:rPr>
        <w:t>n</w:t>
      </w:r>
      <w:r w:rsidRPr="005E23D7">
        <w:rPr>
          <w:rFonts w:ascii="Times New Roman" w:hAnsi="Times New Roman" w:cs="Times New Roman"/>
          <w:sz w:val="24"/>
          <w:szCs w:val="24"/>
        </w:rPr>
        <w:t xml:space="preserve">odrošināta </w:t>
      </w:r>
      <w:r w:rsidR="00EF2215" w:rsidRPr="005E23D7">
        <w:rPr>
          <w:rFonts w:ascii="Times New Roman" w:hAnsi="Times New Roman" w:cs="Times New Roman"/>
          <w:sz w:val="24"/>
          <w:szCs w:val="24"/>
        </w:rPr>
        <w:t>kontaktu</w:t>
      </w:r>
      <w:r w:rsidR="001D04E0" w:rsidRPr="005E23D7">
        <w:rPr>
          <w:rFonts w:ascii="Times New Roman" w:hAnsi="Times New Roman" w:cs="Times New Roman"/>
          <w:sz w:val="24"/>
          <w:szCs w:val="24"/>
        </w:rPr>
        <w:t xml:space="preserve"> intensificēšana</w:t>
      </w:r>
      <w:r w:rsidRPr="005E23D7">
        <w:rPr>
          <w:rFonts w:ascii="Times New Roman" w:hAnsi="Times New Roman" w:cs="Times New Roman"/>
          <w:sz w:val="24"/>
          <w:szCs w:val="24"/>
        </w:rPr>
        <w:t xml:space="preserve"> ar ES valstīm</w:t>
      </w:r>
      <w:r w:rsidR="001D04E0" w:rsidRPr="005E23D7">
        <w:rPr>
          <w:rFonts w:ascii="Times New Roman" w:hAnsi="Times New Roman" w:cs="Times New Roman"/>
          <w:sz w:val="24"/>
          <w:szCs w:val="24"/>
        </w:rPr>
        <w:t xml:space="preserve">, </w:t>
      </w:r>
      <w:r w:rsidRPr="005E23D7">
        <w:rPr>
          <w:rFonts w:ascii="Times New Roman" w:hAnsi="Times New Roman" w:cs="Times New Roman"/>
          <w:sz w:val="24"/>
          <w:szCs w:val="24"/>
        </w:rPr>
        <w:t>īpaši Igauniju, Lietuvu, Poliju, Dāniju, Itāliju, Nīderlandi</w:t>
      </w:r>
      <w:r w:rsidR="001D04E0" w:rsidRPr="005E23D7">
        <w:rPr>
          <w:rFonts w:ascii="Times New Roman" w:hAnsi="Times New Roman" w:cs="Times New Roman"/>
          <w:sz w:val="24"/>
          <w:szCs w:val="24"/>
        </w:rPr>
        <w:t>, kā arī ar</w:t>
      </w:r>
      <w:r w:rsidRPr="005E23D7">
        <w:rPr>
          <w:rFonts w:ascii="Times New Roman" w:hAnsi="Times New Roman" w:cs="Times New Roman"/>
          <w:sz w:val="24"/>
          <w:szCs w:val="24"/>
        </w:rPr>
        <w:t xml:space="preserve"> </w:t>
      </w:r>
      <w:r w:rsidR="0063022C" w:rsidRPr="005E23D7">
        <w:rPr>
          <w:rFonts w:ascii="Times New Roman" w:hAnsi="Times New Roman" w:cs="Times New Roman"/>
          <w:sz w:val="24"/>
          <w:szCs w:val="24"/>
        </w:rPr>
        <w:t xml:space="preserve">Amerikas </w:t>
      </w:r>
      <w:r w:rsidRPr="005E23D7">
        <w:rPr>
          <w:rFonts w:ascii="Times New Roman" w:hAnsi="Times New Roman" w:cs="Times New Roman"/>
          <w:sz w:val="24"/>
          <w:szCs w:val="24"/>
        </w:rPr>
        <w:t>S</w:t>
      </w:r>
      <w:r w:rsidR="0063022C" w:rsidRPr="005E23D7">
        <w:rPr>
          <w:rFonts w:ascii="Times New Roman" w:hAnsi="Times New Roman" w:cs="Times New Roman"/>
          <w:sz w:val="24"/>
          <w:szCs w:val="24"/>
        </w:rPr>
        <w:t>avienotajām valstīm</w:t>
      </w:r>
      <w:r w:rsidRPr="005E23D7">
        <w:rPr>
          <w:rFonts w:ascii="Times New Roman" w:hAnsi="Times New Roman" w:cs="Times New Roman"/>
          <w:sz w:val="24"/>
          <w:szCs w:val="24"/>
        </w:rPr>
        <w:t>, A</w:t>
      </w:r>
      <w:r w:rsidR="0063022C" w:rsidRPr="005E23D7">
        <w:rPr>
          <w:rFonts w:ascii="Times New Roman" w:hAnsi="Times New Roman" w:cs="Times New Roman"/>
          <w:sz w:val="24"/>
          <w:szCs w:val="24"/>
        </w:rPr>
        <w:t xml:space="preserve">pvienotajiem </w:t>
      </w:r>
      <w:r w:rsidRPr="005E23D7">
        <w:rPr>
          <w:rFonts w:ascii="Times New Roman" w:hAnsi="Times New Roman" w:cs="Times New Roman"/>
          <w:sz w:val="24"/>
          <w:szCs w:val="24"/>
        </w:rPr>
        <w:t>A</w:t>
      </w:r>
      <w:r w:rsidR="0063022C" w:rsidRPr="005E23D7">
        <w:rPr>
          <w:rFonts w:ascii="Times New Roman" w:hAnsi="Times New Roman" w:cs="Times New Roman"/>
          <w:sz w:val="24"/>
          <w:szCs w:val="24"/>
        </w:rPr>
        <w:t xml:space="preserve">rābu </w:t>
      </w:r>
      <w:r w:rsidRPr="005E23D7">
        <w:rPr>
          <w:rFonts w:ascii="Times New Roman" w:hAnsi="Times New Roman" w:cs="Times New Roman"/>
          <w:sz w:val="24"/>
          <w:szCs w:val="24"/>
        </w:rPr>
        <w:t>E</w:t>
      </w:r>
      <w:r w:rsidR="0063022C" w:rsidRPr="005E23D7">
        <w:rPr>
          <w:rFonts w:ascii="Times New Roman" w:hAnsi="Times New Roman" w:cs="Times New Roman"/>
          <w:sz w:val="24"/>
          <w:szCs w:val="24"/>
        </w:rPr>
        <w:t>mirātiem</w:t>
      </w:r>
      <w:r w:rsidRPr="005E23D7">
        <w:rPr>
          <w:rFonts w:ascii="Times New Roman" w:hAnsi="Times New Roman" w:cs="Times New Roman"/>
          <w:sz w:val="24"/>
          <w:szCs w:val="24"/>
        </w:rPr>
        <w:t xml:space="preserve">, Japānu, Vjetnamu, Ukrainu un </w:t>
      </w:r>
      <w:proofErr w:type="spellStart"/>
      <w:r w:rsidRPr="005E23D7">
        <w:rPr>
          <w:rFonts w:ascii="Times New Roman" w:hAnsi="Times New Roman" w:cs="Times New Roman"/>
          <w:sz w:val="24"/>
          <w:szCs w:val="24"/>
        </w:rPr>
        <w:t>Centrālāzijas</w:t>
      </w:r>
      <w:proofErr w:type="spellEnd"/>
      <w:r w:rsidRPr="005E23D7">
        <w:rPr>
          <w:rFonts w:ascii="Times New Roman" w:hAnsi="Times New Roman" w:cs="Times New Roman"/>
          <w:sz w:val="24"/>
          <w:szCs w:val="24"/>
        </w:rPr>
        <w:t xml:space="preserve"> valstīm. 2022.gadā </w:t>
      </w:r>
      <w:r w:rsidR="001D04E0" w:rsidRPr="005E23D7">
        <w:rPr>
          <w:rFonts w:ascii="Times New Roman" w:hAnsi="Times New Roman" w:cs="Times New Roman"/>
          <w:sz w:val="24"/>
          <w:szCs w:val="24"/>
        </w:rPr>
        <w:t>notika</w:t>
      </w:r>
      <w:r w:rsidRPr="005E23D7">
        <w:rPr>
          <w:rFonts w:ascii="Times New Roman" w:hAnsi="Times New Roman" w:cs="Times New Roman"/>
          <w:sz w:val="24"/>
          <w:szCs w:val="24"/>
        </w:rPr>
        <w:t xml:space="preserve"> Latvijas – Apvienoto Arābu Emirātu Apvienotās ekonomikas komitejas otrā tikšanās Dubaijā, savukārt Rīgā norisinājās Latvijas un Azerbaidžānas starpvaldību komisijas astotā sēde. </w:t>
      </w:r>
      <w:r w:rsidR="001D04E0" w:rsidRPr="005E23D7">
        <w:rPr>
          <w:rFonts w:ascii="Times New Roman" w:hAnsi="Times New Roman" w:cs="Times New Roman"/>
          <w:sz w:val="24"/>
          <w:szCs w:val="24"/>
        </w:rPr>
        <w:t>P</w:t>
      </w:r>
      <w:r w:rsidRPr="005E23D7">
        <w:rPr>
          <w:rFonts w:ascii="Times New Roman" w:hAnsi="Times New Roman" w:cs="Times New Roman"/>
          <w:sz w:val="24"/>
          <w:szCs w:val="24"/>
        </w:rPr>
        <w:t xml:space="preserve">asākumu ietvaros meklētas jaunas ekonomiskās sadarbības iespējas, pārrunāti abu pušu uzņēmējiem būtiski uzņēmējdarbības vides jautājumi, ka arī </w:t>
      </w:r>
      <w:proofErr w:type="spellStart"/>
      <w:r w:rsidRPr="005E23D7">
        <w:rPr>
          <w:rFonts w:ascii="Times New Roman" w:hAnsi="Times New Roman" w:cs="Times New Roman"/>
          <w:sz w:val="24"/>
          <w:szCs w:val="24"/>
        </w:rPr>
        <w:t>līgumtiesiskās</w:t>
      </w:r>
      <w:proofErr w:type="spellEnd"/>
      <w:r w:rsidRPr="005E23D7">
        <w:rPr>
          <w:rFonts w:ascii="Times New Roman" w:hAnsi="Times New Roman" w:cs="Times New Roman"/>
          <w:sz w:val="24"/>
          <w:szCs w:val="24"/>
        </w:rPr>
        <w:t xml:space="preserve"> bāzes paplašināšanas nepieciešamība.</w:t>
      </w:r>
    </w:p>
    <w:p w14:paraId="2096C8CB" w14:textId="77777777" w:rsidR="005E23D7" w:rsidRDefault="005E23D7" w:rsidP="005E23D7">
      <w:pPr>
        <w:pStyle w:val="ListParagraph"/>
        <w:spacing w:after="0" w:line="240" w:lineRule="auto"/>
        <w:ind w:left="0"/>
        <w:contextualSpacing w:val="0"/>
        <w:jc w:val="both"/>
      </w:pPr>
    </w:p>
    <w:p w14:paraId="1BC7D58F" w14:textId="41D4ED0C" w:rsidR="00F50F2D" w:rsidRPr="005E23D7" w:rsidRDefault="00F50F2D" w:rsidP="005E23D7">
      <w:pPr>
        <w:pStyle w:val="ListParagraph"/>
        <w:spacing w:after="0" w:line="240" w:lineRule="auto"/>
        <w:ind w:left="0"/>
        <w:contextualSpacing w:val="0"/>
        <w:jc w:val="both"/>
      </w:pPr>
      <w:r w:rsidRPr="005E23D7">
        <w:t>Ņemot vērā Krievijas īstenoto un no Baltkrievijas puses atbalstīto karadarbību Ukrainā, kā arī ieviestās sankcijas pret šīm valstīm, saskaņā ar Ministru kabineta lēmumu 2022. gada 1.augstā tika apturēta noslēgtā ekonomiskās sadarbības vienošanās ar Krieviju un 2022. gada 9. septembrī ar Baltkrieviju.</w:t>
      </w:r>
    </w:p>
    <w:p w14:paraId="4E73B261" w14:textId="73CA8F0D" w:rsidR="006E751D" w:rsidRPr="005E23D7" w:rsidRDefault="006E751D" w:rsidP="005E23D7">
      <w:pPr>
        <w:spacing w:after="0" w:line="240" w:lineRule="auto"/>
        <w:jc w:val="both"/>
        <w:rPr>
          <w:rFonts w:ascii="Times New Roman" w:hAnsi="Times New Roman" w:cs="Times New Roman"/>
          <w:sz w:val="24"/>
          <w:szCs w:val="24"/>
        </w:rPr>
      </w:pPr>
    </w:p>
    <w:p w14:paraId="478F1BFD" w14:textId="5B897B86" w:rsidR="006E751D" w:rsidRPr="005E23D7" w:rsidRDefault="001D04E0" w:rsidP="005E23D7">
      <w:pPr>
        <w:spacing w:after="0" w:line="240" w:lineRule="auto"/>
        <w:jc w:val="both"/>
        <w:rPr>
          <w:rFonts w:ascii="Times New Roman" w:hAnsi="Times New Roman" w:cs="Times New Roman"/>
          <w:sz w:val="24"/>
          <w:szCs w:val="24"/>
        </w:rPr>
      </w:pPr>
      <w:r w:rsidRPr="005E23D7">
        <w:rPr>
          <w:rFonts w:ascii="Times New Roman" w:hAnsi="Times New Roman" w:cs="Times New Roman"/>
          <w:sz w:val="24"/>
          <w:szCs w:val="24"/>
        </w:rPr>
        <w:t>EM</w:t>
      </w:r>
      <w:r w:rsidR="006E751D" w:rsidRPr="005E23D7">
        <w:rPr>
          <w:rFonts w:ascii="Times New Roman" w:hAnsi="Times New Roman" w:cs="Times New Roman"/>
          <w:sz w:val="24"/>
          <w:szCs w:val="24"/>
        </w:rPr>
        <w:t xml:space="preserve"> </w:t>
      </w:r>
      <w:r w:rsidR="006E751D" w:rsidRPr="005E23D7">
        <w:rPr>
          <w:rFonts w:ascii="Times New Roman" w:hAnsi="Times New Roman" w:cs="Times New Roman"/>
          <w:b/>
          <w:bCs/>
          <w:sz w:val="24"/>
          <w:szCs w:val="24"/>
        </w:rPr>
        <w:t>Analītikas dienests</w:t>
      </w:r>
      <w:r w:rsidR="006E751D" w:rsidRPr="005E23D7">
        <w:rPr>
          <w:rFonts w:ascii="Times New Roman" w:hAnsi="Times New Roman" w:cs="Times New Roman"/>
          <w:sz w:val="24"/>
          <w:szCs w:val="24"/>
        </w:rPr>
        <w:t xml:space="preserve"> no Latvijas puses </w:t>
      </w:r>
      <w:r w:rsidR="006F6B53" w:rsidRPr="005E23D7">
        <w:rPr>
          <w:rFonts w:ascii="Times New Roman" w:hAnsi="Times New Roman" w:cs="Times New Roman"/>
          <w:sz w:val="24"/>
          <w:szCs w:val="24"/>
        </w:rPr>
        <w:t xml:space="preserve">2022. gadā </w:t>
      </w:r>
      <w:r w:rsidRPr="005E23D7">
        <w:rPr>
          <w:rFonts w:ascii="Times New Roman" w:hAnsi="Times New Roman" w:cs="Times New Roman"/>
          <w:sz w:val="24"/>
          <w:szCs w:val="24"/>
        </w:rPr>
        <w:t>koordinēja</w:t>
      </w:r>
      <w:r w:rsidR="006E751D" w:rsidRPr="005E23D7">
        <w:rPr>
          <w:rFonts w:ascii="Times New Roman" w:hAnsi="Times New Roman" w:cs="Times New Roman"/>
          <w:sz w:val="24"/>
          <w:szCs w:val="24"/>
        </w:rPr>
        <w:t xml:space="preserve"> OECD Latvijas ekonomikas pārskata sagatavošanas un prezentācijas pasākum</w:t>
      </w:r>
      <w:r w:rsidRPr="005E23D7">
        <w:rPr>
          <w:rFonts w:ascii="Times New Roman" w:hAnsi="Times New Roman" w:cs="Times New Roman"/>
          <w:sz w:val="24"/>
          <w:szCs w:val="24"/>
        </w:rPr>
        <w:t>u. Tāpat gada laikā</w:t>
      </w:r>
      <w:r w:rsidR="006E751D" w:rsidRPr="005E23D7">
        <w:rPr>
          <w:rFonts w:ascii="Times New Roman" w:hAnsi="Times New Roman" w:cs="Times New Roman"/>
          <w:sz w:val="24"/>
          <w:szCs w:val="24"/>
        </w:rPr>
        <w:t xml:space="preserve"> aktualizē</w:t>
      </w:r>
      <w:r w:rsidRPr="005E23D7">
        <w:rPr>
          <w:rFonts w:ascii="Times New Roman" w:hAnsi="Times New Roman" w:cs="Times New Roman"/>
          <w:sz w:val="24"/>
          <w:szCs w:val="24"/>
        </w:rPr>
        <w:t>tas</w:t>
      </w:r>
      <w:r w:rsidR="006E751D" w:rsidRPr="005E23D7">
        <w:rPr>
          <w:rFonts w:ascii="Times New Roman" w:hAnsi="Times New Roman" w:cs="Times New Roman"/>
          <w:sz w:val="24"/>
          <w:szCs w:val="24"/>
        </w:rPr>
        <w:t xml:space="preserve"> Darba tirgus vidēja un ilgtermiņa prognozes, kā arī ir sagatavoti datos balstīti vizuāli uzskates materiāli par konkrēto brīžu aktualitātēm – </w:t>
      </w:r>
      <w:r w:rsidRPr="005E23D7">
        <w:rPr>
          <w:rFonts w:ascii="Times New Roman" w:hAnsi="Times New Roman" w:cs="Times New Roman"/>
          <w:sz w:val="24"/>
          <w:szCs w:val="24"/>
        </w:rPr>
        <w:t>Covid-</w:t>
      </w:r>
      <w:r w:rsidR="006E751D" w:rsidRPr="005E23D7">
        <w:rPr>
          <w:rFonts w:ascii="Times New Roman" w:hAnsi="Times New Roman" w:cs="Times New Roman"/>
          <w:sz w:val="24"/>
          <w:szCs w:val="24"/>
        </w:rPr>
        <w:t>19 saslimstību un vakcinācijas aptveres progresu pa nozarēm, ārējo tirdzniecību ar Krieviju, Baltkrieviju un Ukrainu, kā arī makroekonomisko rādītāju apskats. Decembra beigās publicē</w:t>
      </w:r>
      <w:r w:rsidR="006F6B53" w:rsidRPr="005E23D7">
        <w:rPr>
          <w:rFonts w:ascii="Times New Roman" w:hAnsi="Times New Roman" w:cs="Times New Roman"/>
          <w:sz w:val="24"/>
          <w:szCs w:val="24"/>
        </w:rPr>
        <w:t>t</w:t>
      </w:r>
      <w:r w:rsidR="006E751D" w:rsidRPr="005E23D7">
        <w:rPr>
          <w:rFonts w:ascii="Times New Roman" w:hAnsi="Times New Roman" w:cs="Times New Roman"/>
          <w:sz w:val="24"/>
          <w:szCs w:val="24"/>
        </w:rPr>
        <w:t>s kārtēj</w:t>
      </w:r>
      <w:r w:rsidR="006F6B53" w:rsidRPr="005E23D7">
        <w:rPr>
          <w:rFonts w:ascii="Times New Roman" w:hAnsi="Times New Roman" w:cs="Times New Roman"/>
          <w:sz w:val="24"/>
          <w:szCs w:val="24"/>
        </w:rPr>
        <w:t>ais</w:t>
      </w:r>
      <w:r w:rsidRPr="005E23D7">
        <w:rPr>
          <w:rFonts w:ascii="Times New Roman" w:hAnsi="Times New Roman" w:cs="Times New Roman"/>
          <w:sz w:val="24"/>
          <w:szCs w:val="24"/>
        </w:rPr>
        <w:t xml:space="preserve"> </w:t>
      </w:r>
      <w:r w:rsidR="006E751D" w:rsidRPr="005E23D7">
        <w:rPr>
          <w:rFonts w:ascii="Times New Roman" w:hAnsi="Times New Roman" w:cs="Times New Roman"/>
          <w:sz w:val="24"/>
          <w:szCs w:val="24"/>
        </w:rPr>
        <w:t>Latvijas ekonomikas attīstības pārskat</w:t>
      </w:r>
      <w:r w:rsidR="006F6B53" w:rsidRPr="005E23D7">
        <w:rPr>
          <w:rFonts w:ascii="Times New Roman" w:hAnsi="Times New Roman" w:cs="Times New Roman"/>
          <w:sz w:val="24"/>
          <w:szCs w:val="24"/>
        </w:rPr>
        <w:t>s</w:t>
      </w:r>
      <w:r w:rsidRPr="005E23D7">
        <w:rPr>
          <w:rFonts w:ascii="Times New Roman" w:hAnsi="Times New Roman" w:cs="Times New Roman"/>
          <w:sz w:val="24"/>
          <w:szCs w:val="24"/>
        </w:rPr>
        <w:t>, kurā ietverta</w:t>
      </w:r>
      <w:r w:rsidR="006E751D" w:rsidRPr="005E23D7">
        <w:rPr>
          <w:rFonts w:ascii="Times New Roman" w:hAnsi="Times New Roman" w:cs="Times New Roman"/>
          <w:sz w:val="24"/>
          <w:szCs w:val="24"/>
        </w:rPr>
        <w:t xml:space="preserve"> ne tikai situācijas analīz</w:t>
      </w:r>
      <w:r w:rsidRPr="005E23D7">
        <w:rPr>
          <w:rFonts w:ascii="Times New Roman" w:hAnsi="Times New Roman" w:cs="Times New Roman"/>
          <w:sz w:val="24"/>
          <w:szCs w:val="24"/>
        </w:rPr>
        <w:t>e</w:t>
      </w:r>
      <w:r w:rsidR="006E751D" w:rsidRPr="005E23D7">
        <w:rPr>
          <w:rFonts w:ascii="Times New Roman" w:hAnsi="Times New Roman" w:cs="Times New Roman"/>
          <w:sz w:val="24"/>
          <w:szCs w:val="24"/>
        </w:rPr>
        <w:t>, bet arī politikas attīstības kopsavilkum</w:t>
      </w:r>
      <w:r w:rsidRPr="005E23D7">
        <w:rPr>
          <w:rFonts w:ascii="Times New Roman" w:hAnsi="Times New Roman" w:cs="Times New Roman"/>
          <w:sz w:val="24"/>
          <w:szCs w:val="24"/>
        </w:rPr>
        <w:t>s</w:t>
      </w:r>
      <w:r w:rsidR="006E751D" w:rsidRPr="005E23D7">
        <w:rPr>
          <w:rFonts w:ascii="Times New Roman" w:hAnsi="Times New Roman" w:cs="Times New Roman"/>
          <w:sz w:val="24"/>
          <w:szCs w:val="24"/>
        </w:rPr>
        <w:t xml:space="preserve"> par </w:t>
      </w:r>
      <w:r w:rsidRPr="005E23D7">
        <w:rPr>
          <w:rFonts w:ascii="Times New Roman" w:hAnsi="Times New Roman" w:cs="Times New Roman"/>
          <w:sz w:val="24"/>
          <w:szCs w:val="24"/>
        </w:rPr>
        <w:t>EM</w:t>
      </w:r>
      <w:r w:rsidR="006E751D" w:rsidRPr="005E23D7">
        <w:rPr>
          <w:rFonts w:ascii="Times New Roman" w:hAnsi="Times New Roman" w:cs="Times New Roman"/>
          <w:sz w:val="24"/>
          <w:szCs w:val="24"/>
        </w:rPr>
        <w:t xml:space="preserve"> kompetences jomām.</w:t>
      </w:r>
    </w:p>
    <w:p w14:paraId="58319033" w14:textId="647CB0ED" w:rsidR="006E751D" w:rsidRPr="005E23D7" w:rsidRDefault="006E751D" w:rsidP="005E23D7">
      <w:pPr>
        <w:spacing w:after="0" w:line="240" w:lineRule="auto"/>
        <w:jc w:val="both"/>
        <w:rPr>
          <w:rFonts w:ascii="Times New Roman" w:hAnsi="Times New Roman" w:cs="Times New Roman"/>
          <w:sz w:val="24"/>
          <w:szCs w:val="24"/>
        </w:rPr>
      </w:pPr>
    </w:p>
    <w:p w14:paraId="5FE9BF77" w14:textId="41F67896" w:rsidR="001D04E0" w:rsidRPr="005E23D7" w:rsidRDefault="00E43C91" w:rsidP="005E23D7">
      <w:pPr>
        <w:spacing w:after="0" w:line="240" w:lineRule="auto"/>
        <w:jc w:val="both"/>
        <w:rPr>
          <w:rFonts w:ascii="Times New Roman" w:hAnsi="Times New Roman" w:cs="Times New Roman"/>
          <w:sz w:val="24"/>
          <w:szCs w:val="24"/>
        </w:rPr>
      </w:pPr>
      <w:r w:rsidRPr="005E23D7">
        <w:rPr>
          <w:rFonts w:ascii="Times New Roman" w:hAnsi="Times New Roman" w:cs="Times New Roman"/>
          <w:sz w:val="24"/>
          <w:szCs w:val="24"/>
        </w:rPr>
        <w:t xml:space="preserve">Līdz ar Krievijas uzsāktā kara Ukrainā pirmajām dienām, EM aktīvi iesaistījās </w:t>
      </w:r>
      <w:r w:rsidRPr="005E23D7">
        <w:rPr>
          <w:rFonts w:ascii="Times New Roman" w:hAnsi="Times New Roman" w:cs="Times New Roman"/>
          <w:b/>
          <w:bCs/>
          <w:sz w:val="24"/>
          <w:szCs w:val="24"/>
        </w:rPr>
        <w:t>atbalsta sniegšanā Ukrainai un Ukrainas pilsoņiem</w:t>
      </w:r>
      <w:r w:rsidRPr="005E23D7">
        <w:rPr>
          <w:rFonts w:ascii="Times New Roman" w:hAnsi="Times New Roman" w:cs="Times New Roman"/>
          <w:sz w:val="24"/>
          <w:szCs w:val="24"/>
        </w:rPr>
        <w:t xml:space="preserve">. </w:t>
      </w:r>
      <w:r w:rsidR="00284F3D" w:rsidRPr="005E23D7">
        <w:rPr>
          <w:rFonts w:ascii="Times New Roman" w:hAnsi="Times New Roman" w:cs="Times New Roman"/>
          <w:sz w:val="24"/>
          <w:szCs w:val="24"/>
        </w:rPr>
        <w:t>V</w:t>
      </w:r>
      <w:r w:rsidR="00AE0DAD" w:rsidRPr="005E23D7">
        <w:rPr>
          <w:rFonts w:ascii="Times New Roman" w:hAnsi="Times New Roman" w:cs="Times New Roman"/>
          <w:sz w:val="24"/>
          <w:szCs w:val="24"/>
        </w:rPr>
        <w:t>alsts pārvaldes institūcijām, koordinēt</w:t>
      </w:r>
      <w:r w:rsidR="00284F3D" w:rsidRPr="005E23D7">
        <w:rPr>
          <w:rFonts w:ascii="Times New Roman" w:hAnsi="Times New Roman" w:cs="Times New Roman"/>
          <w:sz w:val="24"/>
          <w:szCs w:val="24"/>
        </w:rPr>
        <w:t>i</w:t>
      </w:r>
      <w:r w:rsidR="00AE0DAD" w:rsidRPr="005E23D7">
        <w:rPr>
          <w:rFonts w:ascii="Times New Roman" w:hAnsi="Times New Roman" w:cs="Times New Roman"/>
          <w:sz w:val="24"/>
          <w:szCs w:val="24"/>
        </w:rPr>
        <w:t xml:space="preserve"> sadarb</w:t>
      </w:r>
      <w:r w:rsidR="00284F3D" w:rsidRPr="005E23D7">
        <w:rPr>
          <w:rFonts w:ascii="Times New Roman" w:hAnsi="Times New Roman" w:cs="Times New Roman"/>
          <w:sz w:val="24"/>
          <w:szCs w:val="24"/>
        </w:rPr>
        <w:t>ojoties,</w:t>
      </w:r>
      <w:r w:rsidR="00AE0DAD" w:rsidRPr="005E23D7">
        <w:rPr>
          <w:rFonts w:ascii="Times New Roman" w:hAnsi="Times New Roman" w:cs="Times New Roman"/>
          <w:sz w:val="24"/>
          <w:szCs w:val="24"/>
        </w:rPr>
        <w:t xml:space="preserve"> </w:t>
      </w:r>
      <w:r w:rsidR="00284F3D" w:rsidRPr="005E23D7">
        <w:rPr>
          <w:rFonts w:ascii="Times New Roman" w:hAnsi="Times New Roman" w:cs="Times New Roman"/>
          <w:sz w:val="24"/>
          <w:szCs w:val="24"/>
        </w:rPr>
        <w:t>EM</w:t>
      </w:r>
      <w:r w:rsidR="00AE0DAD" w:rsidRPr="005E23D7">
        <w:rPr>
          <w:rFonts w:ascii="Times New Roman" w:hAnsi="Times New Roman" w:cs="Times New Roman"/>
          <w:sz w:val="24"/>
          <w:szCs w:val="24"/>
        </w:rPr>
        <w:t xml:space="preserve"> </w:t>
      </w:r>
      <w:r w:rsidR="00284F3D" w:rsidRPr="005E23D7">
        <w:rPr>
          <w:rFonts w:ascii="Times New Roman" w:hAnsi="Times New Roman" w:cs="Times New Roman"/>
          <w:sz w:val="24"/>
          <w:szCs w:val="24"/>
        </w:rPr>
        <w:t>uzrunāja</w:t>
      </w:r>
      <w:r w:rsidR="00AE0DAD" w:rsidRPr="005E23D7">
        <w:rPr>
          <w:rFonts w:ascii="Times New Roman" w:hAnsi="Times New Roman" w:cs="Times New Roman"/>
          <w:sz w:val="24"/>
          <w:szCs w:val="24"/>
        </w:rPr>
        <w:t xml:space="preserve"> Latvijas uzņēmēj</w:t>
      </w:r>
      <w:r w:rsidR="00284F3D" w:rsidRPr="005E23D7">
        <w:rPr>
          <w:rFonts w:ascii="Times New Roman" w:hAnsi="Times New Roman" w:cs="Times New Roman"/>
          <w:sz w:val="24"/>
          <w:szCs w:val="24"/>
        </w:rPr>
        <w:t>us</w:t>
      </w:r>
      <w:r w:rsidR="00AE0DAD" w:rsidRPr="005E23D7">
        <w:rPr>
          <w:rFonts w:ascii="Times New Roman" w:hAnsi="Times New Roman" w:cs="Times New Roman"/>
          <w:sz w:val="24"/>
          <w:szCs w:val="24"/>
        </w:rPr>
        <w:t xml:space="preserve"> un</w:t>
      </w:r>
      <w:r w:rsidR="00AE0DAD" w:rsidRPr="005E23D7">
        <w:rPr>
          <w:rFonts w:ascii="Times New Roman" w:hAnsi="Times New Roman" w:cs="Times New Roman"/>
          <w:color w:val="FF0000"/>
          <w:sz w:val="24"/>
          <w:szCs w:val="24"/>
        </w:rPr>
        <w:t xml:space="preserve"> </w:t>
      </w:r>
      <w:r w:rsidR="00AE0DAD" w:rsidRPr="005E23D7">
        <w:rPr>
          <w:rFonts w:ascii="Times New Roman" w:hAnsi="Times New Roman" w:cs="Times New Roman"/>
          <w:sz w:val="24"/>
          <w:szCs w:val="24"/>
        </w:rPr>
        <w:t>uzņēmējus pārstāvoš</w:t>
      </w:r>
      <w:r w:rsidR="00284F3D" w:rsidRPr="005E23D7">
        <w:rPr>
          <w:rFonts w:ascii="Times New Roman" w:hAnsi="Times New Roman" w:cs="Times New Roman"/>
          <w:sz w:val="24"/>
          <w:szCs w:val="24"/>
        </w:rPr>
        <w:t>ās</w:t>
      </w:r>
      <w:r w:rsidR="00AE0DAD" w:rsidRPr="005E23D7">
        <w:rPr>
          <w:rFonts w:ascii="Times New Roman" w:hAnsi="Times New Roman" w:cs="Times New Roman"/>
          <w:sz w:val="24"/>
          <w:szCs w:val="24"/>
        </w:rPr>
        <w:t xml:space="preserve"> organizācij</w:t>
      </w:r>
      <w:r w:rsidR="00284F3D" w:rsidRPr="005E23D7">
        <w:rPr>
          <w:rFonts w:ascii="Times New Roman" w:hAnsi="Times New Roman" w:cs="Times New Roman"/>
          <w:sz w:val="24"/>
          <w:szCs w:val="24"/>
        </w:rPr>
        <w:t>as</w:t>
      </w:r>
      <w:r w:rsidR="00AE0DAD" w:rsidRPr="005E23D7">
        <w:rPr>
          <w:rFonts w:ascii="Times New Roman" w:hAnsi="Times New Roman" w:cs="Times New Roman"/>
          <w:sz w:val="24"/>
          <w:szCs w:val="24"/>
        </w:rPr>
        <w:t xml:space="preserve">, lai apzinātu iespējas sniegt tūlītēju palīdzību, sagādājot pirmās nepieciešamības preces nosūtīšanai uz Ukrainu, nodrošinot ar izmitināšanu Ukrainas </w:t>
      </w:r>
      <w:r w:rsidR="00F77E05" w:rsidRPr="005E23D7">
        <w:rPr>
          <w:rFonts w:ascii="Times New Roman" w:hAnsi="Times New Roman" w:cs="Times New Roman"/>
          <w:sz w:val="24"/>
          <w:szCs w:val="24"/>
        </w:rPr>
        <w:t>civiliedzīvotājiem</w:t>
      </w:r>
      <w:r w:rsidR="00AE0DAD" w:rsidRPr="005E23D7">
        <w:rPr>
          <w:rFonts w:ascii="Times New Roman" w:hAnsi="Times New Roman" w:cs="Times New Roman"/>
          <w:sz w:val="24"/>
          <w:szCs w:val="24"/>
        </w:rPr>
        <w:t xml:space="preserve">, kā arī apzinot Latvijas uzņēmēju gatavību nepieciešamības gadījumā piedāvāt darba vietas Ukrainas pilsoņiem. </w:t>
      </w:r>
      <w:r w:rsidR="00284F3D" w:rsidRPr="005E23D7">
        <w:rPr>
          <w:rFonts w:ascii="Times New Roman" w:hAnsi="Times New Roman" w:cs="Times New Roman"/>
          <w:sz w:val="24"/>
          <w:szCs w:val="24"/>
        </w:rPr>
        <w:t xml:space="preserve">Tāpat EM </w:t>
      </w:r>
      <w:r w:rsidR="009B7862" w:rsidRPr="005E23D7">
        <w:rPr>
          <w:rFonts w:ascii="Times New Roman" w:hAnsi="Times New Roman" w:cs="Times New Roman"/>
          <w:sz w:val="24"/>
          <w:szCs w:val="24"/>
        </w:rPr>
        <w:t>aktīvi iesaistījās</w:t>
      </w:r>
      <w:r w:rsidR="00284F3D" w:rsidRPr="005E23D7">
        <w:rPr>
          <w:rFonts w:ascii="Times New Roman" w:hAnsi="Times New Roman" w:cs="Times New Roman"/>
          <w:sz w:val="24"/>
          <w:szCs w:val="24"/>
        </w:rPr>
        <w:t xml:space="preserve"> normatīvā </w:t>
      </w:r>
      <w:r w:rsidR="004B7375" w:rsidRPr="005E23D7">
        <w:rPr>
          <w:rFonts w:ascii="Times New Roman" w:hAnsi="Times New Roman" w:cs="Times New Roman"/>
          <w:sz w:val="24"/>
          <w:szCs w:val="24"/>
        </w:rPr>
        <w:t>regulējuma</w:t>
      </w:r>
      <w:r w:rsidR="00284F3D" w:rsidRPr="005E23D7">
        <w:rPr>
          <w:rFonts w:ascii="Times New Roman" w:hAnsi="Times New Roman" w:cs="Times New Roman"/>
          <w:sz w:val="24"/>
          <w:szCs w:val="24"/>
        </w:rPr>
        <w:t xml:space="preserve"> izstrādē Ukrainas civiliedzīvotāju atbalstam, sniedzot izmitināšana</w:t>
      </w:r>
      <w:r w:rsidR="004B7375" w:rsidRPr="005E23D7">
        <w:rPr>
          <w:rFonts w:ascii="Times New Roman" w:hAnsi="Times New Roman" w:cs="Times New Roman"/>
          <w:sz w:val="24"/>
          <w:szCs w:val="24"/>
        </w:rPr>
        <w:t>s</w:t>
      </w:r>
      <w:r w:rsidR="00284F3D" w:rsidRPr="005E23D7">
        <w:rPr>
          <w:rFonts w:ascii="Times New Roman" w:hAnsi="Times New Roman" w:cs="Times New Roman"/>
          <w:sz w:val="24"/>
          <w:szCs w:val="24"/>
        </w:rPr>
        <w:t xml:space="preserve">, ēdināšanas u.c. pakalpojumus. EM aicināja arī kapitālsabiedrības ziedot Ukrainas vajadzībām. </w:t>
      </w:r>
      <w:r w:rsidR="00BF5E29" w:rsidRPr="005E23D7">
        <w:rPr>
          <w:rFonts w:ascii="Times New Roman" w:hAnsi="Times New Roman" w:cs="Times New Roman"/>
          <w:sz w:val="24"/>
          <w:szCs w:val="24"/>
        </w:rPr>
        <w:t>Piemēram, la</w:t>
      </w:r>
      <w:r w:rsidR="00284F3D" w:rsidRPr="005E23D7">
        <w:rPr>
          <w:rFonts w:ascii="Times New Roman" w:hAnsi="Times New Roman" w:cs="Times New Roman"/>
          <w:sz w:val="24"/>
          <w:szCs w:val="24"/>
        </w:rPr>
        <w:t xml:space="preserve">i </w:t>
      </w:r>
      <w:r w:rsidR="00284F3D" w:rsidRPr="005E23D7">
        <w:rPr>
          <w:rFonts w:ascii="Times New Roman" w:hAnsi="Times New Roman" w:cs="Times New Roman"/>
          <w:sz w:val="24"/>
          <w:szCs w:val="24"/>
          <w:shd w:val="clear" w:color="auto" w:fill="FFFFFF"/>
        </w:rPr>
        <w:t>palīdzētu nodrošināt pagaidu elektroapgādi Krievijas karadarbības izpostītajās Ukrainas teritorijās</w:t>
      </w:r>
      <w:r w:rsidR="00284F3D" w:rsidRPr="005E23D7">
        <w:rPr>
          <w:rFonts w:ascii="Times New Roman" w:hAnsi="Times New Roman" w:cs="Times New Roman"/>
          <w:sz w:val="24"/>
          <w:szCs w:val="24"/>
        </w:rPr>
        <w:t xml:space="preserve">, uz Ukrainu devās </w:t>
      </w:r>
      <w:r w:rsidR="00284F3D" w:rsidRPr="005E23D7">
        <w:rPr>
          <w:rFonts w:ascii="Times New Roman" w:hAnsi="Times New Roman" w:cs="Times New Roman"/>
          <w:sz w:val="24"/>
          <w:szCs w:val="24"/>
          <w:shd w:val="clear" w:color="auto" w:fill="FFFFFF"/>
        </w:rPr>
        <w:t>AS "Sadales tīkls" transformatori, kā arī kvadricikli</w:t>
      </w:r>
      <w:r w:rsidR="008767D9" w:rsidRPr="005E23D7">
        <w:rPr>
          <w:rFonts w:ascii="Times New Roman" w:hAnsi="Times New Roman" w:cs="Times New Roman"/>
          <w:sz w:val="24"/>
          <w:szCs w:val="24"/>
          <w:shd w:val="clear" w:color="auto" w:fill="FFFFFF"/>
        </w:rPr>
        <w:t>, bet AS “</w:t>
      </w:r>
      <w:r w:rsidR="009B7862" w:rsidRPr="005E23D7">
        <w:rPr>
          <w:rFonts w:ascii="Times New Roman" w:hAnsi="Times New Roman" w:cs="Times New Roman"/>
          <w:sz w:val="24"/>
          <w:szCs w:val="24"/>
          <w:shd w:val="clear" w:color="auto" w:fill="FFFFFF"/>
        </w:rPr>
        <w:t>Latvenergo</w:t>
      </w:r>
      <w:r w:rsidR="008767D9" w:rsidRPr="005E23D7">
        <w:rPr>
          <w:rFonts w:ascii="Times New Roman" w:hAnsi="Times New Roman" w:cs="Times New Roman"/>
          <w:sz w:val="24"/>
          <w:szCs w:val="24"/>
          <w:shd w:val="clear" w:color="auto" w:fill="FFFFFF"/>
        </w:rPr>
        <w:t>”</w:t>
      </w:r>
      <w:r w:rsidR="009B7862" w:rsidRPr="005E23D7">
        <w:rPr>
          <w:rFonts w:ascii="Times New Roman" w:hAnsi="Times New Roman" w:cs="Times New Roman"/>
          <w:sz w:val="24"/>
          <w:szCs w:val="24"/>
          <w:shd w:val="clear" w:color="auto" w:fill="FFFFFF"/>
        </w:rPr>
        <w:t xml:space="preserve"> </w:t>
      </w:r>
      <w:r w:rsidR="008767D9" w:rsidRPr="005E23D7">
        <w:rPr>
          <w:rFonts w:ascii="Times New Roman" w:hAnsi="Times New Roman" w:cs="Times New Roman"/>
          <w:sz w:val="24"/>
          <w:szCs w:val="24"/>
          <w:shd w:val="clear" w:color="auto" w:fill="FFFFFF"/>
        </w:rPr>
        <w:t xml:space="preserve">nogādāja </w:t>
      </w:r>
      <w:proofErr w:type="spellStart"/>
      <w:r w:rsidR="008767D9" w:rsidRPr="005E23D7">
        <w:rPr>
          <w:rFonts w:ascii="Times New Roman" w:hAnsi="Times New Roman" w:cs="Times New Roman"/>
          <w:sz w:val="24"/>
          <w:szCs w:val="24"/>
          <w:shd w:val="clear" w:color="auto" w:fill="FFFFFF"/>
        </w:rPr>
        <w:t>t</w:t>
      </w:r>
      <w:r w:rsidR="008767D9" w:rsidRPr="005E23D7">
        <w:rPr>
          <w:rFonts w:ascii="Times New Roman" w:hAnsi="Times New Roman" w:cs="Times New Roman"/>
          <w:sz w:val="24"/>
          <w:szCs w:val="24"/>
        </w:rPr>
        <w:t>rīsfāzu</w:t>
      </w:r>
      <w:proofErr w:type="spellEnd"/>
      <w:r w:rsidR="008767D9" w:rsidRPr="005E23D7">
        <w:rPr>
          <w:rFonts w:ascii="Times New Roman" w:hAnsi="Times New Roman" w:cs="Times New Roman"/>
          <w:sz w:val="24"/>
          <w:szCs w:val="24"/>
        </w:rPr>
        <w:t xml:space="preserve"> 11/110 </w:t>
      </w:r>
      <w:proofErr w:type="spellStart"/>
      <w:r w:rsidR="008767D9" w:rsidRPr="005E23D7">
        <w:rPr>
          <w:rFonts w:ascii="Times New Roman" w:hAnsi="Times New Roman" w:cs="Times New Roman"/>
          <w:sz w:val="24"/>
          <w:szCs w:val="24"/>
        </w:rPr>
        <w:t>kV</w:t>
      </w:r>
      <w:proofErr w:type="spellEnd"/>
      <w:r w:rsidR="008767D9" w:rsidRPr="005E23D7">
        <w:rPr>
          <w:rFonts w:ascii="Times New Roman" w:hAnsi="Times New Roman" w:cs="Times New Roman"/>
          <w:sz w:val="24"/>
          <w:szCs w:val="24"/>
        </w:rPr>
        <w:t xml:space="preserve"> transformatoru AS "</w:t>
      </w:r>
      <w:proofErr w:type="spellStart"/>
      <w:r w:rsidR="008767D9" w:rsidRPr="005E23D7">
        <w:rPr>
          <w:rFonts w:ascii="Times New Roman" w:hAnsi="Times New Roman" w:cs="Times New Roman"/>
          <w:sz w:val="24"/>
          <w:szCs w:val="24"/>
        </w:rPr>
        <w:t>Hmeļnickoblenergo</w:t>
      </w:r>
      <w:proofErr w:type="spellEnd"/>
      <w:r w:rsidR="008767D9" w:rsidRPr="005E23D7">
        <w:rPr>
          <w:rFonts w:ascii="Times New Roman" w:hAnsi="Times New Roman" w:cs="Times New Roman"/>
          <w:sz w:val="24"/>
          <w:szCs w:val="24"/>
        </w:rPr>
        <w:t xml:space="preserve">" Ukrainas elektroapgādes sistēmas atjaunošanai. </w:t>
      </w:r>
    </w:p>
    <w:p w14:paraId="25C44064" w14:textId="4539ABEC" w:rsidR="008767D9" w:rsidRDefault="008767D9" w:rsidP="005E23D7">
      <w:pPr>
        <w:spacing w:after="0" w:line="240" w:lineRule="auto"/>
        <w:jc w:val="both"/>
        <w:rPr>
          <w:rFonts w:ascii="Times New Roman" w:hAnsi="Times New Roman" w:cs="Times New Roman"/>
          <w:sz w:val="24"/>
          <w:szCs w:val="24"/>
        </w:rPr>
      </w:pPr>
    </w:p>
    <w:p w14:paraId="508557FF" w14:textId="268DB49E" w:rsidR="00C12C7B" w:rsidRDefault="00C12C7B" w:rsidP="005E23D7">
      <w:pPr>
        <w:spacing w:after="0" w:line="240" w:lineRule="auto"/>
        <w:jc w:val="both"/>
        <w:rPr>
          <w:rFonts w:ascii="Times New Roman" w:hAnsi="Times New Roman" w:cs="Times New Roman"/>
          <w:sz w:val="24"/>
          <w:szCs w:val="24"/>
        </w:rPr>
      </w:pPr>
    </w:p>
    <w:p w14:paraId="123DB854" w14:textId="77777777" w:rsidR="00C12C7B" w:rsidRDefault="00C12C7B" w:rsidP="00C12C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Informāciju apkopoja</w:t>
      </w:r>
    </w:p>
    <w:p w14:paraId="64D51DB8" w14:textId="77777777" w:rsidR="00C12C7B" w:rsidRDefault="00C12C7B" w:rsidP="00C12C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Ekonomikas ministrijas</w:t>
      </w:r>
    </w:p>
    <w:p w14:paraId="5EE20651" w14:textId="77777777" w:rsidR="00C12C7B" w:rsidRDefault="00C12C7B" w:rsidP="00C12C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Sabiedrisko attiecību nodaļa</w:t>
      </w:r>
    </w:p>
    <w:p w14:paraId="20192F8A" w14:textId="77777777" w:rsidR="00C12C7B" w:rsidRDefault="00C12C7B" w:rsidP="00C12C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Tālrunis: 67013193</w:t>
      </w:r>
    </w:p>
    <w:p w14:paraId="2556E937" w14:textId="5998FCB6" w:rsidR="00C12C7B" w:rsidRPr="005E23D7" w:rsidRDefault="00C12C7B" w:rsidP="005E23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E-pasts: prese@em.gov.lv</w:t>
      </w:r>
    </w:p>
    <w:sectPr w:rsidR="00C12C7B" w:rsidRPr="005E23D7">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6C46F" w14:textId="77777777" w:rsidR="00D141AA" w:rsidRDefault="00D141AA" w:rsidP="000E51A8">
      <w:pPr>
        <w:spacing w:after="0" w:line="240" w:lineRule="auto"/>
      </w:pPr>
      <w:r>
        <w:separator/>
      </w:r>
    </w:p>
  </w:endnote>
  <w:endnote w:type="continuationSeparator" w:id="0">
    <w:p w14:paraId="1DE409C6" w14:textId="77777777" w:rsidR="00D141AA" w:rsidRDefault="00D141AA" w:rsidP="000E5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3165874"/>
      <w:docPartObj>
        <w:docPartGallery w:val="Page Numbers (Bottom of Page)"/>
        <w:docPartUnique/>
      </w:docPartObj>
    </w:sdtPr>
    <w:sdtEndPr>
      <w:rPr>
        <w:noProof/>
      </w:rPr>
    </w:sdtEndPr>
    <w:sdtContent>
      <w:p w14:paraId="199F51A6" w14:textId="386F9FDA" w:rsidR="005E23D7" w:rsidRDefault="005E23D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313485" w14:textId="77777777" w:rsidR="005E23D7" w:rsidRDefault="005E23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9C5F5" w14:textId="77777777" w:rsidR="00D141AA" w:rsidRDefault="00D141AA" w:rsidP="000E51A8">
      <w:pPr>
        <w:spacing w:after="0" w:line="240" w:lineRule="auto"/>
      </w:pPr>
      <w:r>
        <w:separator/>
      </w:r>
    </w:p>
  </w:footnote>
  <w:footnote w:type="continuationSeparator" w:id="0">
    <w:p w14:paraId="6438832E" w14:textId="77777777" w:rsidR="00D141AA" w:rsidRDefault="00D141AA" w:rsidP="000E51A8">
      <w:pPr>
        <w:spacing w:after="0" w:line="240" w:lineRule="auto"/>
      </w:pPr>
      <w:r>
        <w:continuationSeparator/>
      </w:r>
    </w:p>
  </w:footnote>
  <w:footnote w:id="1">
    <w:p w14:paraId="74F4F3E9" w14:textId="77777777" w:rsidR="000E51A8" w:rsidRDefault="000E51A8" w:rsidP="000E51A8">
      <w:pPr>
        <w:pStyle w:val="FootnoteText"/>
        <w:jc w:val="both"/>
      </w:pPr>
      <w:r>
        <w:rPr>
          <w:rStyle w:val="FootnoteReference"/>
        </w:rPr>
        <w:footnoteRef/>
      </w:r>
      <w:r>
        <w:t xml:space="preserve"> </w:t>
      </w:r>
      <w:r>
        <w:rPr>
          <w:rFonts w:ascii="Times New Roman" w:hAnsi="Times New Roman" w:cs="Times New Roman"/>
        </w:rPr>
        <w:t>Eiropas Parlamenta un Padomes 2018.gada 11.decembra Direktīva Nr.2019/1 par apstākļu nodrošināšanu nolūkā dot dalībvalstu konkurences iestādēm iespēju efektīvāk izpildīt konkurences noteikumus un par iekšējā tirgus pienācīgas darbības nodrošināšanu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0632F"/>
    <w:multiLevelType w:val="multilevel"/>
    <w:tmpl w:val="A238DBBE"/>
    <w:lvl w:ilvl="0">
      <w:start w:val="1"/>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21FC720B"/>
    <w:multiLevelType w:val="hybridMultilevel"/>
    <w:tmpl w:val="76A87D5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2A890C8F"/>
    <w:multiLevelType w:val="hybridMultilevel"/>
    <w:tmpl w:val="CF6012E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451621C5"/>
    <w:multiLevelType w:val="hybridMultilevel"/>
    <w:tmpl w:val="43E4EE98"/>
    <w:lvl w:ilvl="0" w:tplc="701C866C">
      <w:start w:val="3"/>
      <w:numFmt w:val="decimal"/>
      <w:lvlText w:val="%1."/>
      <w:lvlJc w:val="left"/>
      <w:pPr>
        <w:ind w:left="720" w:hanging="360"/>
      </w:pPr>
      <w:rPr>
        <w:color w:val="00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45383E62"/>
    <w:multiLevelType w:val="hybridMultilevel"/>
    <w:tmpl w:val="5004FCF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4AA84FE2"/>
    <w:multiLevelType w:val="multilevel"/>
    <w:tmpl w:val="D3F280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B6E6667"/>
    <w:multiLevelType w:val="multilevel"/>
    <w:tmpl w:val="020AA8C6"/>
    <w:lvl w:ilvl="0">
      <w:start w:val="1"/>
      <w:numFmt w:val="decimal"/>
      <w:lvlText w:val="%1."/>
      <w:lvlJc w:val="left"/>
      <w:pPr>
        <w:ind w:left="360" w:hanging="360"/>
      </w:pPr>
      <w:rPr>
        <w:rFonts w:hint="default"/>
      </w:rPr>
    </w:lvl>
    <w:lvl w:ilvl="1">
      <w:start w:val="1"/>
      <w:numFmt w:val="bullet"/>
      <w:lvlText w:val=""/>
      <w:lvlJc w:val="left"/>
      <w:pPr>
        <w:ind w:left="568" w:hanging="360"/>
      </w:pPr>
      <w:rPr>
        <w:rFonts w:ascii="Symbol" w:hAnsi="Symbol" w:hint="default"/>
        <w:b w:val="0"/>
        <w:bCs w:val="0"/>
      </w:rPr>
    </w:lvl>
    <w:lvl w:ilvl="2">
      <w:start w:val="1"/>
      <w:numFmt w:val="bullet"/>
      <w:lvlText w:val="o"/>
      <w:lvlJc w:val="left"/>
      <w:pPr>
        <w:ind w:left="1440" w:hanging="720"/>
      </w:pPr>
      <w:rPr>
        <w:rFonts w:ascii="Courier New" w:hAnsi="Courier New" w:cs="Courier New"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7" w15:restartNumberingAfterBreak="0">
    <w:nsid w:val="6395185D"/>
    <w:multiLevelType w:val="hybridMultilevel"/>
    <w:tmpl w:val="3C0E759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7CB2043C"/>
    <w:multiLevelType w:val="hybridMultilevel"/>
    <w:tmpl w:val="251CF9DC"/>
    <w:lvl w:ilvl="0" w:tplc="DA2A34F6">
      <w:start w:val="1"/>
      <w:numFmt w:val="lowerLetter"/>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9" w15:restartNumberingAfterBreak="0">
    <w:nsid w:val="7CDA14CB"/>
    <w:multiLevelType w:val="hybridMultilevel"/>
    <w:tmpl w:val="C404796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D25"/>
    <w:rsid w:val="000132CA"/>
    <w:rsid w:val="00021E41"/>
    <w:rsid w:val="0005097A"/>
    <w:rsid w:val="00066642"/>
    <w:rsid w:val="000D59E6"/>
    <w:rsid w:val="000E51A8"/>
    <w:rsid w:val="000F28AA"/>
    <w:rsid w:val="0011086A"/>
    <w:rsid w:val="00123870"/>
    <w:rsid w:val="00152EDA"/>
    <w:rsid w:val="00191C47"/>
    <w:rsid w:val="001D04E0"/>
    <w:rsid w:val="001D1B6B"/>
    <w:rsid w:val="001D207B"/>
    <w:rsid w:val="001E71EC"/>
    <w:rsid w:val="0024384D"/>
    <w:rsid w:val="0027768B"/>
    <w:rsid w:val="00284F3D"/>
    <w:rsid w:val="002B437E"/>
    <w:rsid w:val="002C3841"/>
    <w:rsid w:val="002E0B46"/>
    <w:rsid w:val="002E365C"/>
    <w:rsid w:val="002F0601"/>
    <w:rsid w:val="0031165F"/>
    <w:rsid w:val="00330AC5"/>
    <w:rsid w:val="00337B1E"/>
    <w:rsid w:val="00387697"/>
    <w:rsid w:val="004047D7"/>
    <w:rsid w:val="0041288D"/>
    <w:rsid w:val="00444A5F"/>
    <w:rsid w:val="0046257B"/>
    <w:rsid w:val="00476DF8"/>
    <w:rsid w:val="00491C2B"/>
    <w:rsid w:val="004B7375"/>
    <w:rsid w:val="004C4624"/>
    <w:rsid w:val="004C5E25"/>
    <w:rsid w:val="004F4E21"/>
    <w:rsid w:val="005B1842"/>
    <w:rsid w:val="005B396F"/>
    <w:rsid w:val="005D3B7B"/>
    <w:rsid w:val="005E23D7"/>
    <w:rsid w:val="005F3444"/>
    <w:rsid w:val="0063022C"/>
    <w:rsid w:val="00677594"/>
    <w:rsid w:val="006C7740"/>
    <w:rsid w:val="006E60A4"/>
    <w:rsid w:val="006E751D"/>
    <w:rsid w:val="006F6B53"/>
    <w:rsid w:val="00746DF9"/>
    <w:rsid w:val="00783031"/>
    <w:rsid w:val="00796A4E"/>
    <w:rsid w:val="007A6347"/>
    <w:rsid w:val="007D130B"/>
    <w:rsid w:val="007E3C35"/>
    <w:rsid w:val="007E605C"/>
    <w:rsid w:val="007F1354"/>
    <w:rsid w:val="00836B0D"/>
    <w:rsid w:val="0084105D"/>
    <w:rsid w:val="008767D9"/>
    <w:rsid w:val="00881C97"/>
    <w:rsid w:val="00885B92"/>
    <w:rsid w:val="008A1A1D"/>
    <w:rsid w:val="008A3AF7"/>
    <w:rsid w:val="008E5463"/>
    <w:rsid w:val="008F2FF6"/>
    <w:rsid w:val="00913ACF"/>
    <w:rsid w:val="009424CB"/>
    <w:rsid w:val="00944242"/>
    <w:rsid w:val="009738BA"/>
    <w:rsid w:val="009B7862"/>
    <w:rsid w:val="00A055F2"/>
    <w:rsid w:val="00A5664B"/>
    <w:rsid w:val="00A64255"/>
    <w:rsid w:val="00A80DF5"/>
    <w:rsid w:val="00A91B68"/>
    <w:rsid w:val="00AE0DAD"/>
    <w:rsid w:val="00AE7101"/>
    <w:rsid w:val="00AF545A"/>
    <w:rsid w:val="00B01ECB"/>
    <w:rsid w:val="00B05C06"/>
    <w:rsid w:val="00B16B36"/>
    <w:rsid w:val="00B52E23"/>
    <w:rsid w:val="00B60AEF"/>
    <w:rsid w:val="00B7469B"/>
    <w:rsid w:val="00BA736F"/>
    <w:rsid w:val="00BD73A7"/>
    <w:rsid w:val="00BF26D0"/>
    <w:rsid w:val="00BF5E29"/>
    <w:rsid w:val="00C07925"/>
    <w:rsid w:val="00C12C7B"/>
    <w:rsid w:val="00C314A1"/>
    <w:rsid w:val="00C338CF"/>
    <w:rsid w:val="00C669CE"/>
    <w:rsid w:val="00C86C2D"/>
    <w:rsid w:val="00C9302A"/>
    <w:rsid w:val="00CD19BD"/>
    <w:rsid w:val="00CD1ABB"/>
    <w:rsid w:val="00CE79B7"/>
    <w:rsid w:val="00D141AA"/>
    <w:rsid w:val="00D16E25"/>
    <w:rsid w:val="00D177ED"/>
    <w:rsid w:val="00D219BF"/>
    <w:rsid w:val="00D24B9E"/>
    <w:rsid w:val="00D34D25"/>
    <w:rsid w:val="00D36ACE"/>
    <w:rsid w:val="00D4281B"/>
    <w:rsid w:val="00DB0806"/>
    <w:rsid w:val="00DC199B"/>
    <w:rsid w:val="00DC63B3"/>
    <w:rsid w:val="00E43C91"/>
    <w:rsid w:val="00E82ABA"/>
    <w:rsid w:val="00EE6D9F"/>
    <w:rsid w:val="00EF2215"/>
    <w:rsid w:val="00EF28B3"/>
    <w:rsid w:val="00EF3038"/>
    <w:rsid w:val="00F50F2D"/>
    <w:rsid w:val="00F77E05"/>
    <w:rsid w:val="00F80CFF"/>
    <w:rsid w:val="00FF49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6424A"/>
  <w15:chartTrackingRefBased/>
  <w15:docId w15:val="{1CA02B29-6692-4295-9CA7-B6B9B91F1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69B"/>
    <w:pPr>
      <w:spacing w:line="252" w:lineRule="auto"/>
      <w:ind w:left="720"/>
      <w:contextualSpacing/>
    </w:pPr>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0E51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51A8"/>
    <w:rPr>
      <w:sz w:val="20"/>
      <w:szCs w:val="20"/>
    </w:rPr>
  </w:style>
  <w:style w:type="character" w:styleId="FootnoteReference">
    <w:name w:val="footnote reference"/>
    <w:basedOn w:val="DefaultParagraphFont"/>
    <w:uiPriority w:val="99"/>
    <w:semiHidden/>
    <w:unhideWhenUsed/>
    <w:rsid w:val="000E51A8"/>
    <w:rPr>
      <w:vertAlign w:val="superscript"/>
    </w:rPr>
  </w:style>
  <w:style w:type="character" w:styleId="Hyperlink">
    <w:name w:val="Hyperlink"/>
    <w:basedOn w:val="DefaultParagraphFont"/>
    <w:uiPriority w:val="99"/>
    <w:unhideWhenUsed/>
    <w:rsid w:val="00F50F2D"/>
    <w:rPr>
      <w:color w:val="0563C1"/>
      <w:u w:val="single"/>
    </w:rPr>
  </w:style>
  <w:style w:type="character" w:styleId="UnresolvedMention">
    <w:name w:val="Unresolved Mention"/>
    <w:basedOn w:val="DefaultParagraphFont"/>
    <w:uiPriority w:val="99"/>
    <w:semiHidden/>
    <w:unhideWhenUsed/>
    <w:rsid w:val="00D24B9E"/>
    <w:rPr>
      <w:color w:val="605E5C"/>
      <w:shd w:val="clear" w:color="auto" w:fill="E1DFDD"/>
    </w:rPr>
  </w:style>
  <w:style w:type="paragraph" w:styleId="NormalWeb">
    <w:name w:val="Normal (Web)"/>
    <w:basedOn w:val="Normal"/>
    <w:uiPriority w:val="99"/>
    <w:unhideWhenUsed/>
    <w:rsid w:val="00D24B9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D24B9E"/>
    <w:rPr>
      <w:b/>
      <w:bCs/>
    </w:rPr>
  </w:style>
  <w:style w:type="paragraph" w:customStyle="1" w:styleId="paragraph">
    <w:name w:val="paragraph"/>
    <w:basedOn w:val="Normal"/>
    <w:rsid w:val="00AE7101"/>
    <w:pPr>
      <w:spacing w:before="100" w:beforeAutospacing="1" w:after="100" w:afterAutospacing="1" w:line="240" w:lineRule="auto"/>
    </w:pPr>
    <w:rPr>
      <w:rFonts w:ascii="Times New Roman" w:hAnsi="Times New Roman" w:cs="Times New Roman"/>
      <w:sz w:val="24"/>
      <w:szCs w:val="24"/>
      <w:lang w:eastAsia="lv-LV"/>
    </w:rPr>
  </w:style>
  <w:style w:type="character" w:customStyle="1" w:styleId="normaltextrun">
    <w:name w:val="normaltextrun"/>
    <w:basedOn w:val="DefaultParagraphFont"/>
    <w:rsid w:val="00AE7101"/>
  </w:style>
  <w:style w:type="character" w:customStyle="1" w:styleId="findhit">
    <w:name w:val="findhit"/>
    <w:basedOn w:val="DefaultParagraphFont"/>
    <w:rsid w:val="00AE7101"/>
  </w:style>
  <w:style w:type="character" w:styleId="CommentReference">
    <w:name w:val="annotation reference"/>
    <w:basedOn w:val="DefaultParagraphFont"/>
    <w:uiPriority w:val="99"/>
    <w:semiHidden/>
    <w:unhideWhenUsed/>
    <w:rsid w:val="0046257B"/>
    <w:rPr>
      <w:sz w:val="16"/>
      <w:szCs w:val="16"/>
    </w:rPr>
  </w:style>
  <w:style w:type="paragraph" w:styleId="CommentText">
    <w:name w:val="annotation text"/>
    <w:basedOn w:val="Normal"/>
    <w:link w:val="CommentTextChar"/>
    <w:uiPriority w:val="99"/>
    <w:semiHidden/>
    <w:unhideWhenUsed/>
    <w:rsid w:val="0046257B"/>
    <w:pPr>
      <w:spacing w:line="240" w:lineRule="auto"/>
    </w:pPr>
    <w:rPr>
      <w:sz w:val="20"/>
      <w:szCs w:val="20"/>
    </w:rPr>
  </w:style>
  <w:style w:type="character" w:customStyle="1" w:styleId="CommentTextChar">
    <w:name w:val="Comment Text Char"/>
    <w:basedOn w:val="DefaultParagraphFont"/>
    <w:link w:val="CommentText"/>
    <w:uiPriority w:val="99"/>
    <w:semiHidden/>
    <w:rsid w:val="0046257B"/>
    <w:rPr>
      <w:sz w:val="20"/>
      <w:szCs w:val="20"/>
    </w:rPr>
  </w:style>
  <w:style w:type="paragraph" w:styleId="CommentSubject">
    <w:name w:val="annotation subject"/>
    <w:basedOn w:val="CommentText"/>
    <w:next w:val="CommentText"/>
    <w:link w:val="CommentSubjectChar"/>
    <w:uiPriority w:val="99"/>
    <w:semiHidden/>
    <w:unhideWhenUsed/>
    <w:rsid w:val="0046257B"/>
    <w:rPr>
      <w:b/>
      <w:bCs/>
    </w:rPr>
  </w:style>
  <w:style w:type="character" w:customStyle="1" w:styleId="CommentSubjectChar">
    <w:name w:val="Comment Subject Char"/>
    <w:basedOn w:val="CommentTextChar"/>
    <w:link w:val="CommentSubject"/>
    <w:uiPriority w:val="99"/>
    <w:semiHidden/>
    <w:rsid w:val="0046257B"/>
    <w:rPr>
      <w:b/>
      <w:bCs/>
      <w:sz w:val="20"/>
      <w:szCs w:val="20"/>
    </w:rPr>
  </w:style>
  <w:style w:type="paragraph" w:styleId="BalloonText">
    <w:name w:val="Balloon Text"/>
    <w:basedOn w:val="Normal"/>
    <w:link w:val="BalloonTextChar"/>
    <w:uiPriority w:val="99"/>
    <w:semiHidden/>
    <w:unhideWhenUsed/>
    <w:rsid w:val="004625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57B"/>
    <w:rPr>
      <w:rFonts w:ascii="Segoe UI" w:hAnsi="Segoe UI" w:cs="Segoe UI"/>
      <w:sz w:val="18"/>
      <w:szCs w:val="18"/>
    </w:rPr>
  </w:style>
  <w:style w:type="paragraph" w:styleId="Header">
    <w:name w:val="header"/>
    <w:basedOn w:val="Normal"/>
    <w:link w:val="HeaderChar"/>
    <w:uiPriority w:val="99"/>
    <w:unhideWhenUsed/>
    <w:rsid w:val="005E23D7"/>
    <w:pPr>
      <w:tabs>
        <w:tab w:val="center" w:pos="4153"/>
        <w:tab w:val="right" w:pos="8306"/>
      </w:tabs>
      <w:spacing w:after="0" w:line="240" w:lineRule="auto"/>
    </w:pPr>
  </w:style>
  <w:style w:type="character" w:customStyle="1" w:styleId="HeaderChar">
    <w:name w:val="Header Char"/>
    <w:basedOn w:val="DefaultParagraphFont"/>
    <w:link w:val="Header"/>
    <w:uiPriority w:val="99"/>
    <w:rsid w:val="005E23D7"/>
  </w:style>
  <w:style w:type="paragraph" w:styleId="Footer">
    <w:name w:val="footer"/>
    <w:basedOn w:val="Normal"/>
    <w:link w:val="FooterChar"/>
    <w:uiPriority w:val="99"/>
    <w:unhideWhenUsed/>
    <w:rsid w:val="005E23D7"/>
    <w:pPr>
      <w:tabs>
        <w:tab w:val="center" w:pos="4153"/>
        <w:tab w:val="right" w:pos="8306"/>
      </w:tabs>
      <w:spacing w:after="0" w:line="240" w:lineRule="auto"/>
    </w:pPr>
  </w:style>
  <w:style w:type="character" w:customStyle="1" w:styleId="FooterChar">
    <w:name w:val="Footer Char"/>
    <w:basedOn w:val="DefaultParagraphFont"/>
    <w:link w:val="Footer"/>
    <w:uiPriority w:val="99"/>
    <w:rsid w:val="005E2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79903">
      <w:bodyDiv w:val="1"/>
      <w:marLeft w:val="0"/>
      <w:marRight w:val="0"/>
      <w:marTop w:val="0"/>
      <w:marBottom w:val="0"/>
      <w:divBdr>
        <w:top w:val="none" w:sz="0" w:space="0" w:color="auto"/>
        <w:left w:val="none" w:sz="0" w:space="0" w:color="auto"/>
        <w:bottom w:val="none" w:sz="0" w:space="0" w:color="auto"/>
        <w:right w:val="none" w:sz="0" w:space="0" w:color="auto"/>
      </w:divBdr>
    </w:div>
    <w:div w:id="312150300">
      <w:bodyDiv w:val="1"/>
      <w:marLeft w:val="0"/>
      <w:marRight w:val="0"/>
      <w:marTop w:val="0"/>
      <w:marBottom w:val="0"/>
      <w:divBdr>
        <w:top w:val="none" w:sz="0" w:space="0" w:color="auto"/>
        <w:left w:val="none" w:sz="0" w:space="0" w:color="auto"/>
        <w:bottom w:val="none" w:sz="0" w:space="0" w:color="auto"/>
        <w:right w:val="none" w:sz="0" w:space="0" w:color="auto"/>
      </w:divBdr>
    </w:div>
    <w:div w:id="391084311">
      <w:bodyDiv w:val="1"/>
      <w:marLeft w:val="0"/>
      <w:marRight w:val="0"/>
      <w:marTop w:val="0"/>
      <w:marBottom w:val="0"/>
      <w:divBdr>
        <w:top w:val="none" w:sz="0" w:space="0" w:color="auto"/>
        <w:left w:val="none" w:sz="0" w:space="0" w:color="auto"/>
        <w:bottom w:val="none" w:sz="0" w:space="0" w:color="auto"/>
        <w:right w:val="none" w:sz="0" w:space="0" w:color="auto"/>
      </w:divBdr>
    </w:div>
    <w:div w:id="652757016">
      <w:bodyDiv w:val="1"/>
      <w:marLeft w:val="0"/>
      <w:marRight w:val="0"/>
      <w:marTop w:val="0"/>
      <w:marBottom w:val="0"/>
      <w:divBdr>
        <w:top w:val="none" w:sz="0" w:space="0" w:color="auto"/>
        <w:left w:val="none" w:sz="0" w:space="0" w:color="auto"/>
        <w:bottom w:val="none" w:sz="0" w:space="0" w:color="auto"/>
        <w:right w:val="none" w:sz="0" w:space="0" w:color="auto"/>
      </w:divBdr>
    </w:div>
    <w:div w:id="653606005">
      <w:bodyDiv w:val="1"/>
      <w:marLeft w:val="0"/>
      <w:marRight w:val="0"/>
      <w:marTop w:val="0"/>
      <w:marBottom w:val="0"/>
      <w:divBdr>
        <w:top w:val="none" w:sz="0" w:space="0" w:color="auto"/>
        <w:left w:val="none" w:sz="0" w:space="0" w:color="auto"/>
        <w:bottom w:val="none" w:sz="0" w:space="0" w:color="auto"/>
        <w:right w:val="none" w:sz="0" w:space="0" w:color="auto"/>
      </w:divBdr>
    </w:div>
    <w:div w:id="655689059">
      <w:bodyDiv w:val="1"/>
      <w:marLeft w:val="0"/>
      <w:marRight w:val="0"/>
      <w:marTop w:val="0"/>
      <w:marBottom w:val="0"/>
      <w:divBdr>
        <w:top w:val="none" w:sz="0" w:space="0" w:color="auto"/>
        <w:left w:val="none" w:sz="0" w:space="0" w:color="auto"/>
        <w:bottom w:val="none" w:sz="0" w:space="0" w:color="auto"/>
        <w:right w:val="none" w:sz="0" w:space="0" w:color="auto"/>
      </w:divBdr>
    </w:div>
    <w:div w:id="916011259">
      <w:bodyDiv w:val="1"/>
      <w:marLeft w:val="0"/>
      <w:marRight w:val="0"/>
      <w:marTop w:val="0"/>
      <w:marBottom w:val="0"/>
      <w:divBdr>
        <w:top w:val="none" w:sz="0" w:space="0" w:color="auto"/>
        <w:left w:val="none" w:sz="0" w:space="0" w:color="auto"/>
        <w:bottom w:val="none" w:sz="0" w:space="0" w:color="auto"/>
        <w:right w:val="none" w:sz="0" w:space="0" w:color="auto"/>
      </w:divBdr>
    </w:div>
    <w:div w:id="968125181">
      <w:bodyDiv w:val="1"/>
      <w:marLeft w:val="0"/>
      <w:marRight w:val="0"/>
      <w:marTop w:val="0"/>
      <w:marBottom w:val="0"/>
      <w:divBdr>
        <w:top w:val="none" w:sz="0" w:space="0" w:color="auto"/>
        <w:left w:val="none" w:sz="0" w:space="0" w:color="auto"/>
        <w:bottom w:val="none" w:sz="0" w:space="0" w:color="auto"/>
        <w:right w:val="none" w:sz="0" w:space="0" w:color="auto"/>
      </w:divBdr>
    </w:div>
    <w:div w:id="1143354540">
      <w:bodyDiv w:val="1"/>
      <w:marLeft w:val="0"/>
      <w:marRight w:val="0"/>
      <w:marTop w:val="0"/>
      <w:marBottom w:val="0"/>
      <w:divBdr>
        <w:top w:val="none" w:sz="0" w:space="0" w:color="auto"/>
        <w:left w:val="none" w:sz="0" w:space="0" w:color="auto"/>
        <w:bottom w:val="none" w:sz="0" w:space="0" w:color="auto"/>
        <w:right w:val="none" w:sz="0" w:space="0" w:color="auto"/>
      </w:divBdr>
    </w:div>
    <w:div w:id="1191184173">
      <w:bodyDiv w:val="1"/>
      <w:marLeft w:val="0"/>
      <w:marRight w:val="0"/>
      <w:marTop w:val="0"/>
      <w:marBottom w:val="0"/>
      <w:divBdr>
        <w:top w:val="none" w:sz="0" w:space="0" w:color="auto"/>
        <w:left w:val="none" w:sz="0" w:space="0" w:color="auto"/>
        <w:bottom w:val="none" w:sz="0" w:space="0" w:color="auto"/>
        <w:right w:val="none" w:sz="0" w:space="0" w:color="auto"/>
      </w:divBdr>
    </w:div>
    <w:div w:id="1268732780">
      <w:bodyDiv w:val="1"/>
      <w:marLeft w:val="0"/>
      <w:marRight w:val="0"/>
      <w:marTop w:val="0"/>
      <w:marBottom w:val="0"/>
      <w:divBdr>
        <w:top w:val="none" w:sz="0" w:space="0" w:color="auto"/>
        <w:left w:val="none" w:sz="0" w:space="0" w:color="auto"/>
        <w:bottom w:val="none" w:sz="0" w:space="0" w:color="auto"/>
        <w:right w:val="none" w:sz="0" w:space="0" w:color="auto"/>
      </w:divBdr>
    </w:div>
    <w:div w:id="1453017232">
      <w:bodyDiv w:val="1"/>
      <w:marLeft w:val="0"/>
      <w:marRight w:val="0"/>
      <w:marTop w:val="0"/>
      <w:marBottom w:val="0"/>
      <w:divBdr>
        <w:top w:val="none" w:sz="0" w:space="0" w:color="auto"/>
        <w:left w:val="none" w:sz="0" w:space="0" w:color="auto"/>
        <w:bottom w:val="none" w:sz="0" w:space="0" w:color="auto"/>
        <w:right w:val="none" w:sz="0" w:space="0" w:color="auto"/>
      </w:divBdr>
    </w:div>
    <w:div w:id="1456868891">
      <w:bodyDiv w:val="1"/>
      <w:marLeft w:val="0"/>
      <w:marRight w:val="0"/>
      <w:marTop w:val="0"/>
      <w:marBottom w:val="0"/>
      <w:divBdr>
        <w:top w:val="none" w:sz="0" w:space="0" w:color="auto"/>
        <w:left w:val="none" w:sz="0" w:space="0" w:color="auto"/>
        <w:bottom w:val="none" w:sz="0" w:space="0" w:color="auto"/>
        <w:right w:val="none" w:sz="0" w:space="0" w:color="auto"/>
      </w:divBdr>
    </w:div>
    <w:div w:id="1750886911">
      <w:bodyDiv w:val="1"/>
      <w:marLeft w:val="0"/>
      <w:marRight w:val="0"/>
      <w:marTop w:val="0"/>
      <w:marBottom w:val="0"/>
      <w:divBdr>
        <w:top w:val="none" w:sz="0" w:space="0" w:color="auto"/>
        <w:left w:val="none" w:sz="0" w:space="0" w:color="auto"/>
        <w:bottom w:val="none" w:sz="0" w:space="0" w:color="auto"/>
        <w:right w:val="none" w:sz="0" w:space="0" w:color="auto"/>
      </w:divBdr>
    </w:div>
    <w:div w:id="1801607249">
      <w:bodyDiv w:val="1"/>
      <w:marLeft w:val="0"/>
      <w:marRight w:val="0"/>
      <w:marTop w:val="0"/>
      <w:marBottom w:val="0"/>
      <w:divBdr>
        <w:top w:val="none" w:sz="0" w:space="0" w:color="auto"/>
        <w:left w:val="none" w:sz="0" w:space="0" w:color="auto"/>
        <w:bottom w:val="none" w:sz="0" w:space="0" w:color="auto"/>
        <w:right w:val="none" w:sz="0" w:space="0" w:color="auto"/>
      </w:divBdr>
    </w:div>
    <w:div w:id="1841576076">
      <w:bodyDiv w:val="1"/>
      <w:marLeft w:val="0"/>
      <w:marRight w:val="0"/>
      <w:marTop w:val="0"/>
      <w:marBottom w:val="0"/>
      <w:divBdr>
        <w:top w:val="none" w:sz="0" w:space="0" w:color="auto"/>
        <w:left w:val="none" w:sz="0" w:space="0" w:color="auto"/>
        <w:bottom w:val="none" w:sz="0" w:space="0" w:color="auto"/>
        <w:right w:val="none" w:sz="0" w:space="0" w:color="auto"/>
      </w:divBdr>
    </w:div>
    <w:div w:id="188043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gov.lv/lv/energodrosib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m.gov.lv/lv/energetiskas-neatkaribas-stiprinasan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m.gov.lv/lv/media/13792/download" TargetMode="External"/><Relationship Id="rId4" Type="http://schemas.openxmlformats.org/officeDocument/2006/relationships/webSettings" Target="webSettings.xml"/><Relationship Id="rId9" Type="http://schemas.openxmlformats.org/officeDocument/2006/relationships/hyperlink" Target="https://energy.ec.europa.eu/ecodesign-and-energy-labelling-working-plan-2022-2024_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4450</TotalTime>
  <Pages>8</Pages>
  <Words>15617</Words>
  <Characters>8903</Characters>
  <Application>Microsoft Office Word</Application>
  <DocSecurity>0</DocSecurity>
  <Lines>74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Elita Rubesa-Voravko</dc:creator>
  <cp:keywords/>
  <dc:description/>
  <cp:lastModifiedBy>Evita Urpena</cp:lastModifiedBy>
  <cp:revision>29</cp:revision>
  <dcterms:created xsi:type="dcterms:W3CDTF">2022-12-19T06:19:00Z</dcterms:created>
  <dcterms:modified xsi:type="dcterms:W3CDTF">2023-01-05T07:45:00Z</dcterms:modified>
</cp:coreProperties>
</file>