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4571A" w14:textId="77777777" w:rsidR="00225022" w:rsidRDefault="00225022" w:rsidP="00225022">
      <w:pPr>
        <w:spacing w:after="0" w:line="240" w:lineRule="auto"/>
        <w:jc w:val="center"/>
        <w:rPr>
          <w:rFonts w:ascii="Times New Roman" w:hAnsi="Times New Roman" w:cs="Times New Roman"/>
          <w:b/>
          <w:bCs/>
          <w:sz w:val="26"/>
          <w:szCs w:val="26"/>
        </w:rPr>
      </w:pPr>
      <w:r w:rsidRPr="00225022">
        <w:rPr>
          <w:rFonts w:ascii="Times New Roman" w:hAnsi="Times New Roman" w:cs="Times New Roman"/>
          <w:b/>
          <w:bCs/>
          <w:sz w:val="26"/>
          <w:szCs w:val="26"/>
        </w:rPr>
        <w:t xml:space="preserve">Ekonomikas ministrijas būtiskākais </w:t>
      </w:r>
    </w:p>
    <w:p w14:paraId="77DD1A34" w14:textId="071DA992" w:rsidR="007955F7" w:rsidRPr="00225022" w:rsidRDefault="007955F7" w:rsidP="00225022">
      <w:pPr>
        <w:spacing w:after="0" w:line="240" w:lineRule="auto"/>
        <w:jc w:val="center"/>
        <w:rPr>
          <w:rFonts w:ascii="Times New Roman" w:hAnsi="Times New Roman" w:cs="Times New Roman"/>
          <w:b/>
          <w:bCs/>
          <w:sz w:val="26"/>
          <w:szCs w:val="26"/>
        </w:rPr>
      </w:pPr>
      <w:r w:rsidRPr="00225022">
        <w:rPr>
          <w:rFonts w:ascii="Times New Roman" w:hAnsi="Times New Roman" w:cs="Times New Roman"/>
          <w:b/>
          <w:bCs/>
          <w:sz w:val="26"/>
          <w:szCs w:val="26"/>
        </w:rPr>
        <w:t>PLĀNOTAIS 2023.</w:t>
      </w:r>
      <w:r w:rsidR="00C577BD">
        <w:rPr>
          <w:rFonts w:ascii="Times New Roman" w:hAnsi="Times New Roman" w:cs="Times New Roman"/>
          <w:b/>
          <w:bCs/>
          <w:sz w:val="26"/>
          <w:szCs w:val="26"/>
        </w:rPr>
        <w:t> </w:t>
      </w:r>
      <w:r w:rsidRPr="00225022">
        <w:rPr>
          <w:rFonts w:ascii="Times New Roman" w:hAnsi="Times New Roman" w:cs="Times New Roman"/>
          <w:b/>
          <w:bCs/>
          <w:sz w:val="26"/>
          <w:szCs w:val="26"/>
        </w:rPr>
        <w:t>GADĀ</w:t>
      </w:r>
    </w:p>
    <w:p w14:paraId="78433DC4" w14:textId="01FA6599" w:rsidR="007955F7" w:rsidRPr="006279E2" w:rsidRDefault="007955F7" w:rsidP="00225022">
      <w:pPr>
        <w:spacing w:after="0" w:line="240" w:lineRule="auto"/>
        <w:jc w:val="both"/>
        <w:rPr>
          <w:rFonts w:ascii="Times New Roman" w:hAnsi="Times New Roman" w:cs="Times New Roman"/>
          <w:sz w:val="24"/>
          <w:szCs w:val="24"/>
        </w:rPr>
      </w:pPr>
    </w:p>
    <w:p w14:paraId="7E18599F" w14:textId="5A52B3C7" w:rsidR="00715CD1" w:rsidRPr="006279E2" w:rsidRDefault="00715CD1" w:rsidP="00225022">
      <w:pPr>
        <w:spacing w:after="0" w:line="240" w:lineRule="auto"/>
        <w:jc w:val="both"/>
        <w:rPr>
          <w:rFonts w:ascii="Times New Roman" w:hAnsi="Times New Roman" w:cs="Times New Roman"/>
          <w:sz w:val="24"/>
          <w:szCs w:val="24"/>
        </w:rPr>
      </w:pPr>
      <w:r w:rsidRPr="00225022">
        <w:rPr>
          <w:rFonts w:ascii="Times New Roman" w:hAnsi="Times New Roman" w:cs="Times New Roman"/>
          <w:b/>
          <w:bCs/>
          <w:sz w:val="24"/>
          <w:szCs w:val="24"/>
        </w:rPr>
        <w:t>Ekonomikas ministrija kā galveno prioritāti 2023. gadā ir noteikusi valsts ekonomiskās drošības sekmēšanu</w:t>
      </w:r>
      <w:r w:rsidRPr="006279E2">
        <w:rPr>
          <w:rFonts w:ascii="Times New Roman" w:hAnsi="Times New Roman" w:cs="Times New Roman"/>
          <w:sz w:val="24"/>
          <w:szCs w:val="24"/>
        </w:rPr>
        <w:t>, kas ietver uzņēmēju izaugsmes un finanšu pieejamības veicināšanu, zinātnes ieguldījumus ekonomikā, ieguldījumus cilvēkresursos un iedzīvotājiem draudzīgas nodarbinātības politikas veidošana, mājokļu pieejamība un energoefektivitātes uzlabošana.</w:t>
      </w:r>
      <w:r w:rsidR="00580BC1" w:rsidRPr="006279E2">
        <w:rPr>
          <w:rFonts w:ascii="Times New Roman" w:hAnsi="Times New Roman" w:cs="Times New Roman"/>
          <w:sz w:val="24"/>
          <w:szCs w:val="24"/>
        </w:rPr>
        <w:t xml:space="preserve"> </w:t>
      </w:r>
    </w:p>
    <w:p w14:paraId="046DA0AF" w14:textId="77777777" w:rsidR="00225022" w:rsidRDefault="00225022" w:rsidP="00225022">
      <w:pPr>
        <w:spacing w:after="0" w:line="240" w:lineRule="auto"/>
        <w:jc w:val="both"/>
        <w:rPr>
          <w:rFonts w:ascii="Times New Roman" w:hAnsi="Times New Roman" w:cs="Times New Roman"/>
          <w:bCs/>
          <w:sz w:val="24"/>
          <w:szCs w:val="24"/>
        </w:rPr>
      </w:pPr>
    </w:p>
    <w:p w14:paraId="0A16B5EE" w14:textId="372E4083" w:rsidR="00715CD1" w:rsidRPr="006279E2" w:rsidRDefault="00715CD1" w:rsidP="00225022">
      <w:pPr>
        <w:spacing w:after="0" w:line="240" w:lineRule="auto"/>
        <w:jc w:val="both"/>
        <w:rPr>
          <w:rFonts w:ascii="Times New Roman" w:hAnsi="Times New Roman" w:cs="Times New Roman"/>
          <w:bCs/>
          <w:sz w:val="24"/>
          <w:szCs w:val="24"/>
        </w:rPr>
      </w:pPr>
      <w:r w:rsidRPr="006279E2">
        <w:rPr>
          <w:rFonts w:ascii="Times New Roman" w:hAnsi="Times New Roman" w:cs="Times New Roman"/>
          <w:bCs/>
          <w:sz w:val="24"/>
          <w:szCs w:val="24"/>
        </w:rPr>
        <w:t xml:space="preserve">Latvijas ekonomikas tālākā attīstība būs atkarīga no situācijas ārējā vidē un reformu gaitas, bet lielākais valsts izaugsmes risks saistīts ar globālās ekonomikas attīstību, īpaši ar Covid-19 izplatības apturēšanu un ģeopolitisko situāciju. Latvijas ekonomikas konkurētspējas priekšnoteikums saistās ar tehnoloģiju attīstību, ražošanas efektivitātes uzlabošanu un inovācijām. </w:t>
      </w:r>
      <w:r w:rsidR="00580BC1" w:rsidRPr="006279E2">
        <w:rPr>
          <w:rFonts w:ascii="Times New Roman" w:hAnsi="Times New Roman" w:cs="Times New Roman"/>
          <w:bCs/>
          <w:sz w:val="24"/>
          <w:szCs w:val="24"/>
        </w:rPr>
        <w:t xml:space="preserve">Tādēļ 2023. gadā tiks uzsākta virkne </w:t>
      </w:r>
      <w:r w:rsidR="00C47A29" w:rsidRPr="006279E2">
        <w:rPr>
          <w:rFonts w:ascii="Times New Roman" w:hAnsi="Times New Roman" w:cs="Times New Roman"/>
          <w:bCs/>
          <w:sz w:val="24"/>
          <w:szCs w:val="24"/>
        </w:rPr>
        <w:t xml:space="preserve">Latvijas </w:t>
      </w:r>
      <w:r w:rsidR="00580BC1" w:rsidRPr="006279E2">
        <w:rPr>
          <w:rFonts w:ascii="Times New Roman" w:hAnsi="Times New Roman" w:cs="Times New Roman"/>
          <w:bCs/>
          <w:sz w:val="24"/>
          <w:szCs w:val="24"/>
        </w:rPr>
        <w:t xml:space="preserve">Atveseļošanas un noturības mehānisma atbalsta programmu īstenošana un ES struktūrfondu atbalsta programmu izstrāde un īstenošana. </w:t>
      </w:r>
    </w:p>
    <w:p w14:paraId="3E77C6E5" w14:textId="77777777" w:rsidR="00580BC1" w:rsidRPr="006279E2" w:rsidRDefault="00580BC1" w:rsidP="00225022">
      <w:pPr>
        <w:spacing w:after="0" w:line="240" w:lineRule="auto"/>
        <w:jc w:val="both"/>
        <w:rPr>
          <w:rFonts w:ascii="Times New Roman" w:hAnsi="Times New Roman" w:cs="Times New Roman"/>
          <w:bCs/>
          <w:sz w:val="24"/>
          <w:szCs w:val="24"/>
        </w:rPr>
      </w:pPr>
    </w:p>
    <w:p w14:paraId="35A80002" w14:textId="151CB041" w:rsidR="00614819" w:rsidRPr="006279E2" w:rsidRDefault="00614819" w:rsidP="00225022">
      <w:pPr>
        <w:spacing w:after="0" w:line="240" w:lineRule="auto"/>
        <w:jc w:val="both"/>
        <w:rPr>
          <w:rFonts w:ascii="Times New Roman" w:hAnsi="Times New Roman" w:cs="Times New Roman"/>
          <w:sz w:val="24"/>
          <w:szCs w:val="24"/>
          <w:lang w:eastAsia="lv-LV"/>
        </w:rPr>
      </w:pPr>
      <w:r w:rsidRPr="006279E2">
        <w:rPr>
          <w:rFonts w:ascii="Times New Roman" w:hAnsi="Times New Roman" w:cs="Times New Roman"/>
          <w:sz w:val="24"/>
          <w:szCs w:val="24"/>
          <w:lang w:eastAsia="lv-LV"/>
        </w:rPr>
        <w:t>Līdz 2023.gada 1</w:t>
      </w:r>
      <w:r w:rsidR="00C47A29" w:rsidRPr="006279E2">
        <w:rPr>
          <w:rFonts w:ascii="Times New Roman" w:hAnsi="Times New Roman" w:cs="Times New Roman"/>
          <w:sz w:val="24"/>
          <w:szCs w:val="24"/>
          <w:lang w:eastAsia="lv-LV"/>
        </w:rPr>
        <w:t>.</w:t>
      </w:r>
      <w:r w:rsidRPr="006279E2">
        <w:rPr>
          <w:rFonts w:ascii="Times New Roman" w:hAnsi="Times New Roman" w:cs="Times New Roman"/>
          <w:sz w:val="24"/>
          <w:szCs w:val="24"/>
          <w:lang w:eastAsia="lv-LV"/>
        </w:rPr>
        <w:t xml:space="preserve">ceturksnim </w:t>
      </w:r>
      <w:r w:rsidR="00C47A29" w:rsidRPr="006279E2">
        <w:rPr>
          <w:rFonts w:ascii="Times New Roman" w:hAnsi="Times New Roman" w:cs="Times New Roman"/>
          <w:sz w:val="24"/>
          <w:szCs w:val="24"/>
          <w:lang w:eastAsia="lv-LV"/>
        </w:rPr>
        <w:t>plānots</w:t>
      </w:r>
      <w:r w:rsidRPr="006279E2">
        <w:rPr>
          <w:rFonts w:ascii="Times New Roman" w:hAnsi="Times New Roman" w:cs="Times New Roman"/>
          <w:sz w:val="24"/>
          <w:szCs w:val="24"/>
          <w:lang w:eastAsia="lv-LV"/>
        </w:rPr>
        <w:t xml:space="preserve"> apstiprināt MK noteikum</w:t>
      </w:r>
      <w:r w:rsidR="00C47A29" w:rsidRPr="006279E2">
        <w:rPr>
          <w:rFonts w:ascii="Times New Roman" w:hAnsi="Times New Roman" w:cs="Times New Roman"/>
          <w:sz w:val="24"/>
          <w:szCs w:val="24"/>
          <w:lang w:eastAsia="lv-LV"/>
        </w:rPr>
        <w:t>us</w:t>
      </w:r>
      <w:r w:rsidRPr="006279E2">
        <w:rPr>
          <w:rFonts w:ascii="Times New Roman" w:hAnsi="Times New Roman" w:cs="Times New Roman"/>
          <w:sz w:val="24"/>
          <w:szCs w:val="24"/>
          <w:lang w:eastAsia="lv-LV"/>
        </w:rPr>
        <w:t xml:space="preserve">, kas paredz turpināt </w:t>
      </w:r>
      <w:r w:rsidRPr="00225022">
        <w:rPr>
          <w:rFonts w:ascii="Times New Roman" w:hAnsi="Times New Roman" w:cs="Times New Roman"/>
          <w:sz w:val="24"/>
          <w:szCs w:val="24"/>
          <w:u w:val="single"/>
          <w:lang w:eastAsia="lv-LV"/>
        </w:rPr>
        <w:t>sniegt atbalstu inovāciju klasteru attīstībai</w:t>
      </w:r>
      <w:r w:rsidRPr="006279E2">
        <w:rPr>
          <w:rFonts w:ascii="Times New Roman" w:hAnsi="Times New Roman" w:cs="Times New Roman"/>
          <w:sz w:val="24"/>
          <w:szCs w:val="24"/>
          <w:lang w:eastAsia="lv-LV"/>
        </w:rPr>
        <w:t>, piesaistot finanšu līdzekļus no Latvijas Atveseļošanas un noturības mehānisma plāna 180 milj. EUR</w:t>
      </w:r>
      <w:r w:rsidR="00C47A29" w:rsidRPr="006279E2">
        <w:rPr>
          <w:rFonts w:ascii="Times New Roman" w:hAnsi="Times New Roman" w:cs="Times New Roman"/>
          <w:sz w:val="24"/>
          <w:szCs w:val="24"/>
          <w:lang w:eastAsia="lv-LV"/>
        </w:rPr>
        <w:t xml:space="preserve"> apmērā. </w:t>
      </w:r>
      <w:r w:rsidRPr="006279E2">
        <w:rPr>
          <w:rFonts w:ascii="Times New Roman" w:hAnsi="Times New Roman" w:cs="Times New Roman"/>
          <w:sz w:val="24"/>
          <w:szCs w:val="24"/>
          <w:lang w:eastAsia="lv-LV"/>
        </w:rPr>
        <w:t>Tāpat plānots, ka būs pieejams jauns atbalsts ne tikai inovāciju attīstībai</w:t>
      </w:r>
      <w:r w:rsidR="00C47A29" w:rsidRPr="006279E2">
        <w:rPr>
          <w:rFonts w:ascii="Times New Roman" w:hAnsi="Times New Roman" w:cs="Times New Roman"/>
          <w:sz w:val="24"/>
          <w:szCs w:val="24"/>
          <w:lang w:eastAsia="lv-LV"/>
        </w:rPr>
        <w:t>, bet</w:t>
      </w:r>
      <w:r w:rsidRPr="006279E2">
        <w:rPr>
          <w:rFonts w:ascii="Times New Roman" w:hAnsi="Times New Roman" w:cs="Times New Roman"/>
          <w:sz w:val="24"/>
          <w:szCs w:val="24"/>
          <w:lang w:eastAsia="lv-LV"/>
        </w:rPr>
        <w:t xml:space="preserve"> arī tūrisma nozarei, sniedzot </w:t>
      </w:r>
      <w:proofErr w:type="spellStart"/>
      <w:r w:rsidRPr="006279E2">
        <w:rPr>
          <w:rFonts w:ascii="Times New Roman" w:hAnsi="Times New Roman" w:cs="Times New Roman"/>
          <w:sz w:val="24"/>
          <w:szCs w:val="24"/>
          <w:lang w:eastAsia="lv-LV"/>
        </w:rPr>
        <w:t>grantu</w:t>
      </w:r>
      <w:proofErr w:type="spellEnd"/>
      <w:r w:rsidRPr="006279E2">
        <w:rPr>
          <w:rFonts w:ascii="Times New Roman" w:hAnsi="Times New Roman" w:cs="Times New Roman"/>
          <w:sz w:val="24"/>
          <w:szCs w:val="24"/>
          <w:lang w:eastAsia="lv-LV"/>
        </w:rPr>
        <w:t xml:space="preserve"> atbalstu tūrisma klasteriem Tūrisma produktu attīstības programma</w:t>
      </w:r>
      <w:r w:rsidR="00C47A29" w:rsidRPr="006279E2">
        <w:rPr>
          <w:rFonts w:ascii="Times New Roman" w:hAnsi="Times New Roman" w:cs="Times New Roman"/>
          <w:sz w:val="24"/>
          <w:szCs w:val="24"/>
          <w:lang w:eastAsia="lv-LV"/>
        </w:rPr>
        <w:t>s ietvaros</w:t>
      </w:r>
      <w:r w:rsidRPr="006279E2">
        <w:rPr>
          <w:rFonts w:ascii="Times New Roman" w:hAnsi="Times New Roman" w:cs="Times New Roman"/>
          <w:sz w:val="24"/>
          <w:szCs w:val="24"/>
          <w:lang w:eastAsia="lv-LV"/>
        </w:rPr>
        <w:t xml:space="preserve"> 6 milj. EUR</w:t>
      </w:r>
      <w:r w:rsidR="00C47A29" w:rsidRPr="006279E2">
        <w:rPr>
          <w:rFonts w:ascii="Times New Roman" w:hAnsi="Times New Roman" w:cs="Times New Roman"/>
          <w:sz w:val="24"/>
          <w:szCs w:val="24"/>
          <w:lang w:eastAsia="lv-LV"/>
        </w:rPr>
        <w:t xml:space="preserve"> apmērā.</w:t>
      </w:r>
    </w:p>
    <w:p w14:paraId="083D4147" w14:textId="77777777" w:rsidR="00225022" w:rsidRDefault="00225022" w:rsidP="00225022">
      <w:pPr>
        <w:pStyle w:val="ListParagraph"/>
        <w:spacing w:after="0" w:line="240" w:lineRule="auto"/>
        <w:ind w:left="0"/>
        <w:jc w:val="both"/>
        <w:rPr>
          <w:lang w:eastAsia="lv-LV"/>
        </w:rPr>
      </w:pPr>
    </w:p>
    <w:p w14:paraId="09152E10" w14:textId="7CBA0ACC" w:rsidR="00614819" w:rsidRPr="006279E2" w:rsidRDefault="00614819" w:rsidP="00225022">
      <w:pPr>
        <w:pStyle w:val="ListParagraph"/>
        <w:spacing w:after="0" w:line="240" w:lineRule="auto"/>
        <w:ind w:left="0"/>
        <w:jc w:val="both"/>
        <w:rPr>
          <w:color w:val="000000"/>
          <w:lang w:eastAsia="lv-LV"/>
        </w:rPr>
      </w:pPr>
      <w:r w:rsidRPr="006279E2">
        <w:rPr>
          <w:lang w:eastAsia="lv-LV"/>
        </w:rPr>
        <w:t xml:space="preserve">Tāpat 2023. gada </w:t>
      </w:r>
      <w:r w:rsidR="00C47A29" w:rsidRPr="006279E2">
        <w:rPr>
          <w:lang w:eastAsia="lv-LV"/>
        </w:rPr>
        <w:t>1.</w:t>
      </w:r>
      <w:r w:rsidRPr="006279E2">
        <w:rPr>
          <w:lang w:eastAsia="lv-LV"/>
        </w:rPr>
        <w:t xml:space="preserve">ceturksnī plānots uzsākt </w:t>
      </w:r>
      <w:r w:rsidR="00C47A29" w:rsidRPr="00225022">
        <w:rPr>
          <w:u w:val="single"/>
          <w:lang w:eastAsia="lv-LV"/>
        </w:rPr>
        <w:t>ES</w:t>
      </w:r>
      <w:r w:rsidRPr="00225022">
        <w:rPr>
          <w:u w:val="single"/>
          <w:lang w:eastAsia="lv-LV"/>
        </w:rPr>
        <w:t xml:space="preserve"> kohēzijas politikas programmas 2021.–2027.gadam</w:t>
      </w:r>
      <w:r w:rsidR="00C47A29" w:rsidRPr="00225022">
        <w:rPr>
          <w:u w:val="single"/>
          <w:lang w:eastAsia="lv-LV"/>
        </w:rPr>
        <w:t xml:space="preserve"> </w:t>
      </w:r>
      <w:r w:rsidRPr="00225022">
        <w:rPr>
          <w:u w:val="single"/>
          <w:lang w:eastAsia="lv-LV"/>
        </w:rPr>
        <w:t>“Atbalsts MVU inovatīvas uzņēmējdarbības attīstībai”,</w:t>
      </w:r>
      <w:r w:rsidRPr="006279E2">
        <w:rPr>
          <w:lang w:eastAsia="lv-LV"/>
        </w:rPr>
        <w:t xml:space="preserve"> kurā iekļauti tādi atbalsta pasākumi kā </w:t>
      </w:r>
      <w:proofErr w:type="spellStart"/>
      <w:r w:rsidRPr="006279E2">
        <w:rPr>
          <w:lang w:eastAsia="lv-LV"/>
        </w:rPr>
        <w:t>grantu</w:t>
      </w:r>
      <w:proofErr w:type="spellEnd"/>
      <w:r w:rsidRPr="006279E2">
        <w:rPr>
          <w:lang w:eastAsia="lv-LV"/>
        </w:rPr>
        <w:t xml:space="preserve"> un </w:t>
      </w:r>
      <w:proofErr w:type="spellStart"/>
      <w:r w:rsidRPr="006279E2">
        <w:rPr>
          <w:lang w:eastAsia="lv-LV"/>
        </w:rPr>
        <w:t>nefinanšu</w:t>
      </w:r>
      <w:proofErr w:type="spellEnd"/>
      <w:r w:rsidRPr="006279E2">
        <w:rPr>
          <w:lang w:eastAsia="lv-LV"/>
        </w:rPr>
        <w:t xml:space="preserve"> atbalsts biznesa inkubatoru ietvaros, atbalsts starptautiskās konkurences veicināšanai jeb atbalsts eksporta veicināšanai, kā arī inovāciju motivācijas programma </w:t>
      </w:r>
      <w:r w:rsidR="00C47A29" w:rsidRPr="006279E2">
        <w:rPr>
          <w:lang w:eastAsia="lv-LV"/>
        </w:rPr>
        <w:t xml:space="preserve">kopumā </w:t>
      </w:r>
      <w:r w:rsidRPr="006279E2">
        <w:rPr>
          <w:lang w:eastAsia="lv-LV"/>
        </w:rPr>
        <w:t>78 milj</w:t>
      </w:r>
      <w:r w:rsidR="00C47A29" w:rsidRPr="006279E2">
        <w:rPr>
          <w:lang w:eastAsia="lv-LV"/>
        </w:rPr>
        <w:t>. EUR apmērā.</w:t>
      </w:r>
      <w:r w:rsidRPr="006279E2">
        <w:rPr>
          <w:lang w:eastAsia="lv-LV"/>
        </w:rPr>
        <w:t xml:space="preserve"> </w:t>
      </w:r>
    </w:p>
    <w:p w14:paraId="1AC73EC6" w14:textId="77777777" w:rsidR="00225022" w:rsidRDefault="00225022" w:rsidP="00225022">
      <w:pPr>
        <w:pStyle w:val="ListParagraph"/>
        <w:spacing w:after="0" w:line="240" w:lineRule="auto"/>
        <w:ind w:left="0"/>
        <w:jc w:val="both"/>
        <w:rPr>
          <w:color w:val="000000"/>
          <w:lang w:eastAsia="lv-LV"/>
        </w:rPr>
      </w:pPr>
    </w:p>
    <w:p w14:paraId="67A9ABD9" w14:textId="30FDFC5D" w:rsidR="00614819" w:rsidRPr="006279E2" w:rsidRDefault="00C47A29" w:rsidP="00225022">
      <w:pPr>
        <w:pStyle w:val="ListParagraph"/>
        <w:spacing w:after="0" w:line="240" w:lineRule="auto"/>
        <w:ind w:left="0"/>
        <w:jc w:val="both"/>
        <w:rPr>
          <w:rFonts w:eastAsia="Times New Roman"/>
          <w:color w:val="000000"/>
          <w:lang w:eastAsia="lv-LV"/>
        </w:rPr>
      </w:pPr>
      <w:r w:rsidRPr="006279E2">
        <w:rPr>
          <w:color w:val="000000"/>
          <w:lang w:eastAsia="lv-LV"/>
        </w:rPr>
        <w:t xml:space="preserve">Vienlaikus, </w:t>
      </w:r>
      <w:r w:rsidR="00614819" w:rsidRPr="006279E2">
        <w:rPr>
          <w:color w:val="000000"/>
          <w:lang w:eastAsia="lv-LV"/>
        </w:rPr>
        <w:t>2023. gadā plānots izstrādāt u</w:t>
      </w:r>
      <w:r w:rsidRPr="006279E2">
        <w:rPr>
          <w:color w:val="000000"/>
          <w:lang w:eastAsia="lv-LV"/>
        </w:rPr>
        <w:t>n</w:t>
      </w:r>
      <w:r w:rsidR="00614819" w:rsidRPr="006279E2">
        <w:rPr>
          <w:color w:val="000000"/>
          <w:lang w:eastAsia="lv-LV"/>
        </w:rPr>
        <w:t xml:space="preserve"> uzsākt </w:t>
      </w:r>
      <w:r w:rsidRPr="006279E2">
        <w:rPr>
          <w:color w:val="000000"/>
          <w:lang w:eastAsia="lv-LV"/>
        </w:rPr>
        <w:t>vairākas</w:t>
      </w:r>
      <w:r w:rsidR="00614819" w:rsidRPr="006279E2">
        <w:rPr>
          <w:color w:val="000000"/>
          <w:lang w:eastAsia="lv-LV"/>
        </w:rPr>
        <w:t xml:space="preserve"> finanšu instrumentu programmas kop</w:t>
      </w:r>
      <w:r w:rsidRPr="006279E2">
        <w:rPr>
          <w:color w:val="000000"/>
          <w:lang w:eastAsia="lv-LV"/>
        </w:rPr>
        <w:t>um</w:t>
      </w:r>
      <w:r w:rsidR="00614819" w:rsidRPr="006279E2">
        <w:rPr>
          <w:color w:val="000000"/>
          <w:lang w:eastAsia="lv-LV"/>
        </w:rPr>
        <w:t>ā 186 milj. EUR apmērā</w:t>
      </w:r>
      <w:r w:rsidRPr="006279E2">
        <w:rPr>
          <w:color w:val="000000"/>
          <w:lang w:eastAsia="lv-LV"/>
        </w:rPr>
        <w:t xml:space="preserve">, tostarp, </w:t>
      </w:r>
      <w:r w:rsidR="00614819" w:rsidRPr="006279E2">
        <w:rPr>
          <w:rFonts w:eastAsia="Times New Roman"/>
          <w:color w:val="000000"/>
          <w:lang w:eastAsia="lv-LV"/>
        </w:rPr>
        <w:t>atbalst</w:t>
      </w:r>
      <w:r w:rsidRPr="006279E2">
        <w:rPr>
          <w:rFonts w:eastAsia="Times New Roman"/>
          <w:color w:val="000000"/>
          <w:lang w:eastAsia="lv-LV"/>
        </w:rPr>
        <w:t>u</w:t>
      </w:r>
      <w:r w:rsidR="00614819" w:rsidRPr="006279E2">
        <w:rPr>
          <w:rFonts w:eastAsia="Times New Roman"/>
          <w:color w:val="000000"/>
          <w:lang w:eastAsia="lv-LV"/>
        </w:rPr>
        <w:t xml:space="preserve"> pētniecībai un inovācijām: inovatīvu iekārtu iegādei;</w:t>
      </w:r>
      <w:r w:rsidRPr="006279E2">
        <w:rPr>
          <w:rFonts w:eastAsia="Times New Roman"/>
          <w:color w:val="000000"/>
          <w:lang w:eastAsia="lv-LV"/>
        </w:rPr>
        <w:t xml:space="preserve"> </w:t>
      </w:r>
      <w:r w:rsidR="00614819" w:rsidRPr="006279E2">
        <w:rPr>
          <w:rFonts w:eastAsia="Times New Roman"/>
          <w:color w:val="000000"/>
          <w:lang w:eastAsia="lv-LV"/>
        </w:rPr>
        <w:t xml:space="preserve">tehnoloģiju attīstībai, </w:t>
      </w:r>
      <w:proofErr w:type="spellStart"/>
      <w:r w:rsidR="00614819" w:rsidRPr="006279E2">
        <w:rPr>
          <w:rFonts w:eastAsia="Times New Roman"/>
          <w:color w:val="000000"/>
          <w:lang w:eastAsia="lv-LV"/>
        </w:rPr>
        <w:t>prototipēšanai</w:t>
      </w:r>
      <w:proofErr w:type="spellEnd"/>
      <w:r w:rsidR="00614819" w:rsidRPr="006279E2">
        <w:rPr>
          <w:rFonts w:eastAsia="Times New Roman"/>
          <w:color w:val="000000"/>
          <w:lang w:eastAsia="lv-LV"/>
        </w:rPr>
        <w:t xml:space="preserve">, tehnoloģiju </w:t>
      </w:r>
      <w:proofErr w:type="spellStart"/>
      <w:r w:rsidR="00614819" w:rsidRPr="006279E2">
        <w:rPr>
          <w:rFonts w:eastAsia="Times New Roman"/>
          <w:color w:val="000000"/>
          <w:lang w:eastAsia="lv-LV"/>
        </w:rPr>
        <w:t>pārnesei</w:t>
      </w:r>
      <w:proofErr w:type="spellEnd"/>
      <w:r w:rsidR="00614819" w:rsidRPr="006279E2">
        <w:rPr>
          <w:rFonts w:eastAsia="Times New Roman"/>
          <w:color w:val="000000"/>
          <w:lang w:eastAsia="lv-LV"/>
        </w:rPr>
        <w:t>;</w:t>
      </w:r>
      <w:r w:rsidRPr="006279E2">
        <w:rPr>
          <w:rFonts w:eastAsia="Times New Roman"/>
          <w:color w:val="000000"/>
          <w:lang w:eastAsia="lv-LV"/>
        </w:rPr>
        <w:t xml:space="preserve"> </w:t>
      </w:r>
      <w:r w:rsidR="00614819" w:rsidRPr="006279E2">
        <w:rPr>
          <w:rFonts w:eastAsia="Times New Roman"/>
          <w:color w:val="000000"/>
          <w:lang w:eastAsia="lv-LV"/>
        </w:rPr>
        <w:t>atbalst</w:t>
      </w:r>
      <w:r w:rsidRPr="006279E2">
        <w:rPr>
          <w:rFonts w:eastAsia="Times New Roman"/>
          <w:color w:val="000000"/>
          <w:lang w:eastAsia="lv-LV"/>
        </w:rPr>
        <w:t>am</w:t>
      </w:r>
      <w:r w:rsidR="00614819" w:rsidRPr="006279E2">
        <w:rPr>
          <w:rFonts w:eastAsia="Times New Roman"/>
          <w:color w:val="000000"/>
          <w:lang w:eastAsia="lv-LV"/>
        </w:rPr>
        <w:t xml:space="preserve"> MVU: startam un produktivitātes kāpināšanai;</w:t>
      </w:r>
      <w:r w:rsidRPr="006279E2">
        <w:rPr>
          <w:rFonts w:eastAsia="Times New Roman"/>
          <w:color w:val="000000"/>
          <w:lang w:eastAsia="lv-LV"/>
        </w:rPr>
        <w:t xml:space="preserve"> </w:t>
      </w:r>
      <w:r w:rsidR="00614819" w:rsidRPr="006279E2">
        <w:rPr>
          <w:rFonts w:eastAsia="Times New Roman"/>
          <w:color w:val="000000"/>
          <w:lang w:eastAsia="lv-LV"/>
        </w:rPr>
        <w:t xml:space="preserve">garantijas MVU: pilna cikla uzņēmējdarbībai, tostarp </w:t>
      </w:r>
      <w:proofErr w:type="spellStart"/>
      <w:r w:rsidR="00614819" w:rsidRPr="006279E2">
        <w:rPr>
          <w:rFonts w:eastAsia="Times New Roman"/>
          <w:color w:val="000000"/>
          <w:lang w:eastAsia="lv-LV"/>
        </w:rPr>
        <w:t>digitalizācijai</w:t>
      </w:r>
      <w:proofErr w:type="spellEnd"/>
      <w:r w:rsidR="00614819" w:rsidRPr="006279E2">
        <w:rPr>
          <w:rFonts w:eastAsia="Times New Roman"/>
          <w:color w:val="000000"/>
          <w:lang w:eastAsia="lv-LV"/>
        </w:rPr>
        <w:t xml:space="preserve"> un automatizācijai;</w:t>
      </w:r>
      <w:r w:rsidRPr="006279E2">
        <w:rPr>
          <w:rFonts w:eastAsia="Times New Roman"/>
          <w:color w:val="000000"/>
          <w:lang w:eastAsia="lv-LV"/>
        </w:rPr>
        <w:t xml:space="preserve"> </w:t>
      </w:r>
      <w:proofErr w:type="spellStart"/>
      <w:r w:rsidR="00614819" w:rsidRPr="006279E2">
        <w:rPr>
          <w:rFonts w:eastAsia="Times New Roman"/>
          <w:color w:val="000000"/>
          <w:lang w:eastAsia="lv-LV"/>
        </w:rPr>
        <w:t>iespējkapitāla</w:t>
      </w:r>
      <w:proofErr w:type="spellEnd"/>
      <w:r w:rsidR="00614819" w:rsidRPr="006279E2">
        <w:rPr>
          <w:rFonts w:eastAsia="Times New Roman"/>
          <w:color w:val="000000"/>
          <w:lang w:eastAsia="lv-LV"/>
        </w:rPr>
        <w:t xml:space="preserve"> ieguldījumi</w:t>
      </w:r>
      <w:r w:rsidRPr="006279E2">
        <w:rPr>
          <w:rFonts w:eastAsia="Times New Roman"/>
          <w:color w:val="000000"/>
          <w:lang w:eastAsia="lv-LV"/>
        </w:rPr>
        <w:t>em</w:t>
      </w:r>
      <w:r w:rsidR="00614819" w:rsidRPr="006279E2">
        <w:rPr>
          <w:rFonts w:eastAsia="Times New Roman"/>
          <w:color w:val="000000"/>
          <w:lang w:eastAsia="lv-LV"/>
        </w:rPr>
        <w:t xml:space="preserve"> MVU.</w:t>
      </w:r>
    </w:p>
    <w:p w14:paraId="2709BED9" w14:textId="77777777" w:rsidR="00225022" w:rsidRDefault="00225022" w:rsidP="00225022">
      <w:pPr>
        <w:spacing w:after="0" w:line="240" w:lineRule="auto"/>
        <w:jc w:val="both"/>
        <w:rPr>
          <w:rFonts w:ascii="Times New Roman" w:hAnsi="Times New Roman" w:cs="Times New Roman"/>
          <w:sz w:val="24"/>
          <w:szCs w:val="24"/>
        </w:rPr>
      </w:pPr>
    </w:p>
    <w:p w14:paraId="0C8045B2" w14:textId="68BFF43D" w:rsidR="00C47A29" w:rsidRPr="006279E2" w:rsidRDefault="00812C33" w:rsidP="00225022">
      <w:pPr>
        <w:spacing w:after="0" w:line="240" w:lineRule="auto"/>
        <w:jc w:val="both"/>
        <w:rPr>
          <w:rFonts w:ascii="Times New Roman" w:hAnsi="Times New Roman" w:cs="Times New Roman"/>
          <w:sz w:val="24"/>
          <w:szCs w:val="24"/>
        </w:rPr>
      </w:pPr>
      <w:r w:rsidRPr="006279E2">
        <w:rPr>
          <w:rFonts w:ascii="Times New Roman" w:hAnsi="Times New Roman" w:cs="Times New Roman"/>
          <w:sz w:val="24"/>
          <w:szCs w:val="24"/>
        </w:rPr>
        <w:t xml:space="preserve">2023. gadā EM ir iecerējusi virzīt </w:t>
      </w:r>
      <w:r w:rsidR="00C47A29" w:rsidRPr="006279E2">
        <w:rPr>
          <w:rFonts w:ascii="Times New Roman" w:hAnsi="Times New Roman" w:cs="Times New Roman"/>
          <w:sz w:val="24"/>
          <w:szCs w:val="24"/>
        </w:rPr>
        <w:t xml:space="preserve">jaunas, </w:t>
      </w:r>
      <w:r w:rsidR="00C47A29" w:rsidRPr="00225022">
        <w:rPr>
          <w:rFonts w:ascii="Times New Roman" w:hAnsi="Times New Roman" w:cs="Times New Roman"/>
          <w:sz w:val="24"/>
          <w:szCs w:val="24"/>
          <w:u w:val="single"/>
        </w:rPr>
        <w:t>datos balstītas iniciatīvas straujai tūrisma nozares atveseļošanai un izaugsmei,</w:t>
      </w:r>
      <w:r w:rsidR="00C47A29" w:rsidRPr="006279E2">
        <w:rPr>
          <w:rFonts w:ascii="Times New Roman" w:hAnsi="Times New Roman" w:cs="Times New Roman"/>
          <w:sz w:val="24"/>
          <w:szCs w:val="24"/>
        </w:rPr>
        <w:t xml:space="preserve"> kā arī tūrisma datu ieguvei un analīzei</w:t>
      </w:r>
      <w:r w:rsidRPr="006279E2">
        <w:rPr>
          <w:rFonts w:ascii="Times New Roman" w:hAnsi="Times New Roman" w:cs="Times New Roman"/>
          <w:sz w:val="24"/>
          <w:szCs w:val="24"/>
        </w:rPr>
        <w:t xml:space="preserve">. Vienlaikus, inovāciju, produktivitātes un izaugsmes veicināšanai un investīciju piesaistei, EM virzīs </w:t>
      </w:r>
      <w:r w:rsidR="00C47A29" w:rsidRPr="00225022">
        <w:rPr>
          <w:rFonts w:ascii="Times New Roman" w:hAnsi="Times New Roman" w:cs="Times New Roman"/>
          <w:sz w:val="24"/>
          <w:szCs w:val="24"/>
          <w:u w:val="single"/>
        </w:rPr>
        <w:t>Inovatīvas uzņēmējdarbības un prioritāro investīciju atbalsta likumu</w:t>
      </w:r>
      <w:r w:rsidR="00BC2557" w:rsidRPr="006279E2">
        <w:rPr>
          <w:rFonts w:ascii="Times New Roman" w:hAnsi="Times New Roman" w:cs="Times New Roman"/>
          <w:sz w:val="24"/>
          <w:szCs w:val="24"/>
        </w:rPr>
        <w:t xml:space="preserve">. </w:t>
      </w:r>
    </w:p>
    <w:p w14:paraId="4EE3FEC7" w14:textId="77777777" w:rsidR="00225022" w:rsidRDefault="00225022" w:rsidP="00225022">
      <w:pPr>
        <w:spacing w:after="0" w:line="240" w:lineRule="auto"/>
        <w:jc w:val="both"/>
        <w:rPr>
          <w:rFonts w:ascii="Times New Roman" w:hAnsi="Times New Roman" w:cs="Times New Roman"/>
          <w:sz w:val="24"/>
          <w:szCs w:val="24"/>
        </w:rPr>
      </w:pPr>
    </w:p>
    <w:p w14:paraId="2FFE6680" w14:textId="3BEB59E2" w:rsidR="00C47A29" w:rsidRPr="00225022" w:rsidRDefault="00BC2557" w:rsidP="00225022">
      <w:pPr>
        <w:spacing w:after="0" w:line="240" w:lineRule="auto"/>
        <w:jc w:val="both"/>
        <w:rPr>
          <w:rFonts w:ascii="Times New Roman" w:hAnsi="Times New Roman" w:cs="Times New Roman"/>
          <w:sz w:val="24"/>
          <w:szCs w:val="24"/>
          <w:u w:val="single"/>
        </w:rPr>
      </w:pPr>
      <w:r w:rsidRPr="006279E2">
        <w:rPr>
          <w:rFonts w:ascii="Times New Roman" w:hAnsi="Times New Roman" w:cs="Times New Roman"/>
          <w:sz w:val="24"/>
          <w:szCs w:val="24"/>
        </w:rPr>
        <w:t xml:space="preserve">Tāpat 2023. gadā, sadarbībā ar nozaru profesionālajām asociācijām konkurētspējas veicināšanai plānots aktualizēt </w:t>
      </w:r>
      <w:r w:rsidR="00C47A29" w:rsidRPr="00225022">
        <w:rPr>
          <w:rFonts w:ascii="Times New Roman" w:hAnsi="Times New Roman" w:cs="Times New Roman"/>
          <w:sz w:val="24"/>
          <w:szCs w:val="24"/>
          <w:u w:val="single"/>
        </w:rPr>
        <w:t>Uzņēmējdarbības vides pasākumu pilnveidošanas plān</w:t>
      </w:r>
      <w:r w:rsidRPr="00225022">
        <w:rPr>
          <w:rFonts w:ascii="Times New Roman" w:hAnsi="Times New Roman" w:cs="Times New Roman"/>
          <w:sz w:val="24"/>
          <w:szCs w:val="24"/>
          <w:u w:val="single"/>
        </w:rPr>
        <w:t xml:space="preserve">u. </w:t>
      </w:r>
    </w:p>
    <w:p w14:paraId="3A206BF0" w14:textId="77777777" w:rsidR="00C47A29" w:rsidRPr="006279E2" w:rsidRDefault="00C47A29" w:rsidP="00225022">
      <w:pPr>
        <w:spacing w:after="0" w:line="240" w:lineRule="auto"/>
        <w:jc w:val="both"/>
        <w:rPr>
          <w:rFonts w:ascii="Times New Roman" w:hAnsi="Times New Roman" w:cs="Times New Roman"/>
          <w:sz w:val="24"/>
          <w:szCs w:val="24"/>
        </w:rPr>
      </w:pPr>
    </w:p>
    <w:p w14:paraId="7F25B85F" w14:textId="0F9DC323" w:rsidR="00C47A29" w:rsidRPr="006279E2" w:rsidRDefault="00C47A29" w:rsidP="00225022">
      <w:pPr>
        <w:spacing w:after="0" w:line="240" w:lineRule="auto"/>
        <w:jc w:val="both"/>
        <w:rPr>
          <w:rFonts w:ascii="Times New Roman" w:hAnsi="Times New Roman" w:cs="Times New Roman"/>
          <w:sz w:val="24"/>
          <w:szCs w:val="24"/>
        </w:rPr>
      </w:pPr>
      <w:r w:rsidRPr="006279E2">
        <w:rPr>
          <w:rFonts w:ascii="Times New Roman" w:hAnsi="Times New Roman" w:cs="Times New Roman"/>
          <w:sz w:val="24"/>
          <w:szCs w:val="24"/>
        </w:rPr>
        <w:t>Nākamgad p</w:t>
      </w:r>
      <w:r w:rsidR="00640124" w:rsidRPr="006279E2">
        <w:rPr>
          <w:rFonts w:ascii="Times New Roman" w:hAnsi="Times New Roman" w:cs="Times New Roman"/>
          <w:sz w:val="24"/>
          <w:szCs w:val="24"/>
        </w:rPr>
        <w:t>lāno</w:t>
      </w:r>
      <w:r w:rsidRPr="006279E2">
        <w:rPr>
          <w:rFonts w:ascii="Times New Roman" w:hAnsi="Times New Roman" w:cs="Times New Roman"/>
          <w:sz w:val="24"/>
          <w:szCs w:val="24"/>
        </w:rPr>
        <w:t>ts uzsākt jaun</w:t>
      </w:r>
      <w:r w:rsidR="00640124" w:rsidRPr="006279E2">
        <w:rPr>
          <w:rFonts w:ascii="Times New Roman" w:hAnsi="Times New Roman" w:cs="Times New Roman"/>
          <w:sz w:val="24"/>
          <w:szCs w:val="24"/>
        </w:rPr>
        <w:t>o</w:t>
      </w:r>
      <w:r w:rsidRPr="006279E2">
        <w:rPr>
          <w:rFonts w:ascii="Times New Roman" w:hAnsi="Times New Roman" w:cs="Times New Roman"/>
          <w:sz w:val="24"/>
          <w:szCs w:val="24"/>
        </w:rPr>
        <w:t xml:space="preserve"> atbalsta programm</w:t>
      </w:r>
      <w:r w:rsidR="00640124" w:rsidRPr="006279E2">
        <w:rPr>
          <w:rFonts w:ascii="Times New Roman" w:hAnsi="Times New Roman" w:cs="Times New Roman"/>
          <w:sz w:val="24"/>
          <w:szCs w:val="24"/>
        </w:rPr>
        <w:t>u</w:t>
      </w:r>
      <w:r w:rsidRPr="006279E2">
        <w:rPr>
          <w:rFonts w:ascii="Times New Roman" w:hAnsi="Times New Roman" w:cs="Times New Roman"/>
          <w:sz w:val="24"/>
          <w:szCs w:val="24"/>
        </w:rPr>
        <w:t xml:space="preserve"> </w:t>
      </w:r>
      <w:r w:rsidRPr="00225022">
        <w:rPr>
          <w:rFonts w:ascii="Times New Roman" w:hAnsi="Times New Roman" w:cs="Times New Roman"/>
          <w:sz w:val="24"/>
          <w:szCs w:val="24"/>
          <w:u w:val="single"/>
        </w:rPr>
        <w:t>valsts ēku energoefektivitātei</w:t>
      </w:r>
      <w:r w:rsidRPr="006279E2">
        <w:rPr>
          <w:rFonts w:ascii="Times New Roman" w:hAnsi="Times New Roman" w:cs="Times New Roman"/>
          <w:sz w:val="24"/>
          <w:szCs w:val="24"/>
        </w:rPr>
        <w:t xml:space="preserve">, kā arī nodrošināt 2014.-2020.gada ES fondu plānošanas perioda projektu pabeigšanu un perioda noslēgšanu. </w:t>
      </w:r>
    </w:p>
    <w:p w14:paraId="174375C4" w14:textId="77777777" w:rsidR="00225022" w:rsidRDefault="00225022" w:rsidP="00225022">
      <w:pPr>
        <w:spacing w:after="0" w:line="240" w:lineRule="auto"/>
        <w:jc w:val="both"/>
        <w:rPr>
          <w:rFonts w:ascii="Times New Roman" w:hAnsi="Times New Roman" w:cs="Times New Roman"/>
          <w:b/>
          <w:bCs/>
          <w:sz w:val="24"/>
          <w:szCs w:val="24"/>
        </w:rPr>
      </w:pPr>
    </w:p>
    <w:p w14:paraId="74442E9C" w14:textId="12098DFD" w:rsidR="00640124" w:rsidRPr="006279E2" w:rsidRDefault="00397442" w:rsidP="00225022">
      <w:pPr>
        <w:spacing w:after="0" w:line="240" w:lineRule="auto"/>
        <w:jc w:val="both"/>
        <w:rPr>
          <w:rFonts w:ascii="Times New Roman" w:eastAsia="Times New Roman" w:hAnsi="Times New Roman" w:cs="Times New Roman"/>
          <w:sz w:val="24"/>
          <w:szCs w:val="24"/>
        </w:rPr>
      </w:pPr>
      <w:r w:rsidRPr="00225022">
        <w:rPr>
          <w:rFonts w:ascii="Times New Roman" w:hAnsi="Times New Roman" w:cs="Times New Roman"/>
          <w:sz w:val="24"/>
          <w:szCs w:val="24"/>
          <w:u w:val="single"/>
        </w:rPr>
        <w:lastRenderedPageBreak/>
        <w:t>Mājokļu pieejamības uzlabošanai</w:t>
      </w:r>
      <w:r w:rsidRPr="006279E2">
        <w:rPr>
          <w:rFonts w:ascii="Times New Roman" w:hAnsi="Times New Roman" w:cs="Times New Roman"/>
          <w:b/>
          <w:bCs/>
          <w:sz w:val="24"/>
          <w:szCs w:val="24"/>
        </w:rPr>
        <w:t xml:space="preserve"> </w:t>
      </w:r>
      <w:r w:rsidRPr="006279E2">
        <w:rPr>
          <w:rFonts w:ascii="Times New Roman" w:hAnsi="Times New Roman" w:cs="Times New Roman"/>
          <w:sz w:val="24"/>
          <w:szCs w:val="24"/>
        </w:rPr>
        <w:t>2023. gadā plānots izstrādāt jaunu atbalsta programmu</w:t>
      </w:r>
      <w:r w:rsidRPr="006279E2">
        <w:rPr>
          <w:rFonts w:ascii="Times New Roman" w:hAnsi="Times New Roman" w:cs="Times New Roman"/>
          <w:b/>
          <w:bCs/>
          <w:sz w:val="24"/>
          <w:szCs w:val="24"/>
        </w:rPr>
        <w:t xml:space="preserve"> </w:t>
      </w:r>
      <w:r w:rsidRPr="006279E2">
        <w:rPr>
          <w:rFonts w:ascii="Times New Roman" w:eastAsia="Times New Roman" w:hAnsi="Times New Roman" w:cs="Times New Roman"/>
          <w:color w:val="242424"/>
          <w:sz w:val="24"/>
          <w:szCs w:val="24"/>
          <w:shd w:val="clear" w:color="auto" w:fill="FFFFFF"/>
        </w:rPr>
        <w:t>sociālo mājokļu atjaunošanai vai jaunu sociālo mājokļu būvniecībai</w:t>
      </w:r>
      <w:r w:rsidR="00640124" w:rsidRPr="006279E2">
        <w:rPr>
          <w:rFonts w:ascii="Times New Roman" w:eastAsia="Times New Roman" w:hAnsi="Times New Roman" w:cs="Times New Roman"/>
          <w:color w:val="242424"/>
          <w:sz w:val="24"/>
          <w:szCs w:val="24"/>
          <w:shd w:val="clear" w:color="auto" w:fill="FFFFFF"/>
        </w:rPr>
        <w:t xml:space="preserve">. Tāpat tiks turpināts sniegt </w:t>
      </w:r>
      <w:r w:rsidR="00640124" w:rsidRPr="006279E2">
        <w:rPr>
          <w:rFonts w:ascii="Times New Roman" w:hAnsi="Times New Roman" w:cs="Times New Roman"/>
          <w:sz w:val="24"/>
          <w:szCs w:val="24"/>
        </w:rPr>
        <w:t>atbalstu ģimenēm ar bērniem un jaunajiem speciālistiem mājokļa iegādei vai būvniecībai.</w:t>
      </w:r>
      <w:r w:rsidR="00DD430C" w:rsidRPr="006279E2">
        <w:rPr>
          <w:rFonts w:ascii="Times New Roman" w:hAnsi="Times New Roman" w:cs="Times New Roman"/>
          <w:sz w:val="24"/>
          <w:szCs w:val="24"/>
        </w:rPr>
        <w:t xml:space="preserve"> </w:t>
      </w:r>
      <w:r w:rsidR="00DD430C" w:rsidRPr="006279E2">
        <w:rPr>
          <w:rFonts w:ascii="Times New Roman" w:eastAsia="Times New Roman" w:hAnsi="Times New Roman" w:cs="Times New Roman"/>
          <w:color w:val="242424"/>
          <w:sz w:val="24"/>
          <w:szCs w:val="24"/>
          <w:shd w:val="clear" w:color="auto" w:fill="FFFFFF"/>
        </w:rPr>
        <w:t>Savukārt, lai uzlabotu vides pieejamību daudzdzīvokļu ēkās, tiks izstrādāta a</w:t>
      </w:r>
      <w:r w:rsidR="00640124" w:rsidRPr="006279E2">
        <w:rPr>
          <w:rFonts w:ascii="Times New Roman" w:eastAsia="Times New Roman" w:hAnsi="Times New Roman" w:cs="Times New Roman"/>
          <w:color w:val="242424"/>
          <w:sz w:val="24"/>
          <w:szCs w:val="24"/>
          <w:shd w:val="clear" w:color="auto" w:fill="FFFFFF"/>
        </w:rPr>
        <w:t xml:space="preserve">tbalsta programma </w:t>
      </w:r>
      <w:r w:rsidR="00DD430C" w:rsidRPr="006279E2">
        <w:rPr>
          <w:rFonts w:ascii="Times New Roman" w:eastAsia="Times New Roman" w:hAnsi="Times New Roman" w:cs="Times New Roman"/>
          <w:color w:val="242424"/>
          <w:sz w:val="24"/>
          <w:szCs w:val="24"/>
          <w:shd w:val="clear" w:color="auto" w:fill="FFFFFF"/>
        </w:rPr>
        <w:t xml:space="preserve">liftu izbūvei. </w:t>
      </w:r>
    </w:p>
    <w:p w14:paraId="694B86CC" w14:textId="77777777" w:rsidR="00225022" w:rsidRDefault="00225022" w:rsidP="00225022">
      <w:pPr>
        <w:spacing w:after="0" w:line="240" w:lineRule="auto"/>
        <w:jc w:val="both"/>
        <w:rPr>
          <w:rFonts w:ascii="Times New Roman" w:hAnsi="Times New Roman" w:cs="Times New Roman"/>
          <w:color w:val="242424"/>
          <w:sz w:val="24"/>
          <w:szCs w:val="24"/>
          <w:shd w:val="clear" w:color="auto" w:fill="FFFFFF"/>
        </w:rPr>
      </w:pPr>
    </w:p>
    <w:p w14:paraId="7332A29C" w14:textId="1398D5B7" w:rsidR="006824B2" w:rsidRPr="006279E2" w:rsidRDefault="008301CE" w:rsidP="00225022">
      <w:pPr>
        <w:spacing w:after="0" w:line="240" w:lineRule="auto"/>
        <w:jc w:val="both"/>
        <w:rPr>
          <w:rFonts w:ascii="Times New Roman" w:hAnsi="Times New Roman" w:cs="Times New Roman"/>
          <w:b/>
          <w:bCs/>
          <w:sz w:val="24"/>
          <w:szCs w:val="24"/>
        </w:rPr>
      </w:pPr>
      <w:r w:rsidRPr="006279E2">
        <w:rPr>
          <w:rFonts w:ascii="Times New Roman" w:hAnsi="Times New Roman" w:cs="Times New Roman"/>
          <w:color w:val="242424"/>
          <w:sz w:val="24"/>
          <w:szCs w:val="24"/>
          <w:shd w:val="clear" w:color="auto" w:fill="FFFFFF"/>
        </w:rPr>
        <w:t>2023. gadā EM turpinās darbu pie jauna Dzīvojamo māju pārvaldīšanas likuma, lai risinātu esošajā likumā un tiesu praksē konstatētās problēmas, kā arī radītu tiesiskos priekšnoteikumus daudzdzīvokļu dzīvojamo māju efektīvākai pārvaldīšanai, nodrošinot dzīvojamo māju ekspluatāciju, uzturēšanu (fizisku saglabāšanu visā to ekspluatācijas laikā) un attīstību atbilstoši normatīvo aktu prasībām.</w:t>
      </w:r>
    </w:p>
    <w:p w14:paraId="5990F1B5" w14:textId="77777777" w:rsidR="00225022" w:rsidRDefault="00225022" w:rsidP="00225022">
      <w:pPr>
        <w:spacing w:after="0" w:line="240" w:lineRule="auto"/>
        <w:jc w:val="both"/>
        <w:rPr>
          <w:rFonts w:ascii="Times New Roman" w:hAnsi="Times New Roman" w:cs="Times New Roman"/>
          <w:b/>
          <w:bCs/>
          <w:sz w:val="24"/>
          <w:szCs w:val="24"/>
        </w:rPr>
      </w:pPr>
    </w:p>
    <w:p w14:paraId="7A12AFEC" w14:textId="117F3E97" w:rsidR="000F693C" w:rsidRPr="006279E2" w:rsidRDefault="000F693C" w:rsidP="00225022">
      <w:pPr>
        <w:spacing w:after="0" w:line="240" w:lineRule="auto"/>
        <w:jc w:val="both"/>
        <w:rPr>
          <w:rFonts w:ascii="Times New Roman" w:hAnsi="Times New Roman" w:cs="Times New Roman"/>
          <w:sz w:val="24"/>
          <w:szCs w:val="24"/>
        </w:rPr>
      </w:pPr>
      <w:r w:rsidRPr="00225022">
        <w:rPr>
          <w:rFonts w:ascii="Times New Roman" w:hAnsi="Times New Roman" w:cs="Times New Roman"/>
          <w:sz w:val="24"/>
          <w:szCs w:val="24"/>
          <w:u w:val="single"/>
        </w:rPr>
        <w:t xml:space="preserve">Būvniecības </w:t>
      </w:r>
      <w:r w:rsidR="006824B2" w:rsidRPr="00225022">
        <w:rPr>
          <w:rFonts w:ascii="Times New Roman" w:hAnsi="Times New Roman" w:cs="Times New Roman"/>
          <w:sz w:val="24"/>
          <w:szCs w:val="24"/>
          <w:u w:val="single"/>
        </w:rPr>
        <w:t xml:space="preserve"> </w:t>
      </w:r>
      <w:r w:rsidRPr="00225022">
        <w:rPr>
          <w:rFonts w:ascii="Times New Roman" w:hAnsi="Times New Roman" w:cs="Times New Roman"/>
          <w:sz w:val="24"/>
          <w:szCs w:val="24"/>
          <w:u w:val="single"/>
        </w:rPr>
        <w:t>nozares izaugsmes sekmēšanai</w:t>
      </w:r>
      <w:r w:rsidRPr="006279E2">
        <w:rPr>
          <w:rFonts w:ascii="Times New Roman" w:hAnsi="Times New Roman" w:cs="Times New Roman"/>
          <w:sz w:val="24"/>
          <w:szCs w:val="24"/>
        </w:rPr>
        <w:t xml:space="preserve"> 2023. gadā paredzēts izstrādāt Būvniecības nozares vidējā termiņa attīstības stratēģiju, kā arī īstenot Būvniecības informācijas sistēmas turpmākos pilnveidojumus, nodrošinot datu apmaiņas procesus ar būvniecības procesa dalībnieku uzturētajām sistēmām, mazinot birokrātiju un manuālo datu ievadi.</w:t>
      </w:r>
    </w:p>
    <w:p w14:paraId="0DFCC881" w14:textId="77777777" w:rsidR="00225022" w:rsidRDefault="00225022" w:rsidP="00225022">
      <w:pPr>
        <w:spacing w:after="0" w:line="240" w:lineRule="auto"/>
        <w:jc w:val="both"/>
        <w:rPr>
          <w:rFonts w:ascii="Times New Roman" w:hAnsi="Times New Roman" w:cs="Times New Roman"/>
          <w:sz w:val="24"/>
          <w:szCs w:val="24"/>
        </w:rPr>
      </w:pPr>
    </w:p>
    <w:p w14:paraId="15644BC8" w14:textId="28959834" w:rsidR="000F693C" w:rsidRPr="006279E2" w:rsidRDefault="000F693C" w:rsidP="00225022">
      <w:pPr>
        <w:spacing w:after="0" w:line="240" w:lineRule="auto"/>
        <w:jc w:val="both"/>
        <w:rPr>
          <w:rFonts w:ascii="Times New Roman" w:hAnsi="Times New Roman" w:cs="Times New Roman"/>
          <w:sz w:val="24"/>
          <w:szCs w:val="24"/>
        </w:rPr>
      </w:pPr>
      <w:r w:rsidRPr="006279E2">
        <w:rPr>
          <w:rFonts w:ascii="Times New Roman" w:hAnsi="Times New Roman" w:cs="Times New Roman"/>
          <w:sz w:val="24"/>
          <w:szCs w:val="24"/>
        </w:rPr>
        <w:t xml:space="preserve">Vienlaikus, nākamgad plānots izstrādāt tipveida tehnisko projektu daudzdzīvokļu dzīvojamās mājas energoefektivitātes nodrošināšanai, kā arī pārskatīt būvniecības ieceres saskaņošanas un akceptēšanas procesu, nodrošinot vienveidīgu praksi visā Latvijas teritorijā. </w:t>
      </w:r>
    </w:p>
    <w:p w14:paraId="2A0106BA" w14:textId="43BBF685" w:rsidR="000F693C" w:rsidRPr="006279E2" w:rsidRDefault="000F693C" w:rsidP="00225022">
      <w:pPr>
        <w:spacing w:after="0" w:line="240" w:lineRule="auto"/>
        <w:jc w:val="both"/>
        <w:rPr>
          <w:rFonts w:ascii="Times New Roman" w:hAnsi="Times New Roman" w:cs="Times New Roman"/>
          <w:sz w:val="24"/>
          <w:szCs w:val="24"/>
        </w:rPr>
      </w:pPr>
    </w:p>
    <w:p w14:paraId="2E027AFD" w14:textId="4FE5DD87" w:rsidR="004C7F02" w:rsidRPr="006279E2" w:rsidRDefault="004C7F02" w:rsidP="00225022">
      <w:pPr>
        <w:spacing w:after="0" w:line="240" w:lineRule="auto"/>
        <w:jc w:val="both"/>
        <w:rPr>
          <w:rFonts w:ascii="Times New Roman" w:hAnsi="Times New Roman" w:cs="Times New Roman"/>
          <w:sz w:val="24"/>
          <w:szCs w:val="24"/>
        </w:rPr>
      </w:pPr>
      <w:r w:rsidRPr="00225022">
        <w:rPr>
          <w:rFonts w:ascii="Times New Roman" w:hAnsi="Times New Roman" w:cs="Times New Roman"/>
          <w:sz w:val="24"/>
          <w:szCs w:val="24"/>
          <w:u w:val="single"/>
        </w:rPr>
        <w:t>Patērētāju tiesību aizsardzības jomā</w:t>
      </w:r>
      <w:r w:rsidRPr="006279E2">
        <w:rPr>
          <w:rFonts w:ascii="Times New Roman" w:hAnsi="Times New Roman" w:cs="Times New Roman"/>
          <w:sz w:val="24"/>
          <w:szCs w:val="24"/>
        </w:rPr>
        <w:t xml:space="preserve"> 2023.gadā pirmajā pusē varētu tikt apstiprināta jauna </w:t>
      </w:r>
      <w:r w:rsidR="00D979E7" w:rsidRPr="006279E2">
        <w:rPr>
          <w:rFonts w:ascii="Times New Roman" w:hAnsi="Times New Roman" w:cs="Times New Roman"/>
          <w:sz w:val="24"/>
          <w:szCs w:val="24"/>
        </w:rPr>
        <w:t xml:space="preserve">ES </w:t>
      </w:r>
      <w:r w:rsidRPr="006279E2">
        <w:rPr>
          <w:rFonts w:ascii="Times New Roman" w:hAnsi="Times New Roman" w:cs="Times New Roman"/>
          <w:sz w:val="24"/>
          <w:szCs w:val="24"/>
        </w:rPr>
        <w:t>Patērētāju kreditēšanas direktīva</w:t>
      </w:r>
      <w:r w:rsidR="00D979E7" w:rsidRPr="006279E2">
        <w:rPr>
          <w:rFonts w:ascii="Times New Roman" w:hAnsi="Times New Roman" w:cs="Times New Roman"/>
          <w:sz w:val="24"/>
          <w:szCs w:val="24"/>
        </w:rPr>
        <w:t>, kas paredz</w:t>
      </w:r>
      <w:r w:rsidRPr="006279E2">
        <w:rPr>
          <w:rFonts w:ascii="Times New Roman" w:hAnsi="Times New Roman" w:cs="Times New Roman"/>
          <w:sz w:val="24"/>
          <w:szCs w:val="24"/>
        </w:rPr>
        <w:t xml:space="preserve"> patērētāju kreditēšanas </w:t>
      </w:r>
      <w:r w:rsidR="00D979E7" w:rsidRPr="006279E2">
        <w:rPr>
          <w:rFonts w:ascii="Times New Roman" w:hAnsi="Times New Roman" w:cs="Times New Roman"/>
          <w:sz w:val="24"/>
          <w:szCs w:val="24"/>
        </w:rPr>
        <w:t>jomā</w:t>
      </w:r>
      <w:r w:rsidRPr="006279E2">
        <w:rPr>
          <w:rFonts w:ascii="Times New Roman" w:hAnsi="Times New Roman" w:cs="Times New Roman"/>
          <w:sz w:val="24"/>
          <w:szCs w:val="24"/>
        </w:rPr>
        <w:t xml:space="preserve"> uzlabot reklāmā un patērētājam pirms līguma noslēgšanas sniegtās informācijas kvalitāti, nosa</w:t>
      </w:r>
      <w:r w:rsidR="00D979E7" w:rsidRPr="006279E2">
        <w:rPr>
          <w:rFonts w:ascii="Times New Roman" w:hAnsi="Times New Roman" w:cs="Times New Roman"/>
          <w:sz w:val="24"/>
          <w:szCs w:val="24"/>
        </w:rPr>
        <w:t>kot</w:t>
      </w:r>
      <w:r w:rsidRPr="006279E2">
        <w:rPr>
          <w:rFonts w:ascii="Times New Roman" w:hAnsi="Times New Roman" w:cs="Times New Roman"/>
          <w:sz w:val="24"/>
          <w:szCs w:val="24"/>
        </w:rPr>
        <w:t xml:space="preserve"> profesionālās ētikas noteikumus un </w:t>
      </w:r>
      <w:proofErr w:type="spellStart"/>
      <w:r w:rsidRPr="006279E2">
        <w:rPr>
          <w:rFonts w:ascii="Times New Roman" w:hAnsi="Times New Roman" w:cs="Times New Roman"/>
          <w:sz w:val="24"/>
          <w:szCs w:val="24"/>
        </w:rPr>
        <w:t>kredītdevēju</w:t>
      </w:r>
      <w:proofErr w:type="spellEnd"/>
      <w:r w:rsidRPr="006279E2">
        <w:rPr>
          <w:rFonts w:ascii="Times New Roman" w:hAnsi="Times New Roman" w:cs="Times New Roman"/>
          <w:sz w:val="24"/>
          <w:szCs w:val="24"/>
        </w:rPr>
        <w:t xml:space="preserve"> pienākumus ar mērķi nodrošināt, ka darbiniekiem ir atbilstošas prasmes un zināšanas. </w:t>
      </w:r>
      <w:r w:rsidR="00D979E7" w:rsidRPr="006279E2">
        <w:rPr>
          <w:rFonts w:ascii="Times New Roman" w:hAnsi="Times New Roman" w:cs="Times New Roman"/>
          <w:sz w:val="24"/>
          <w:szCs w:val="24"/>
        </w:rPr>
        <w:t>Tāpat tiks pas</w:t>
      </w:r>
      <w:r w:rsidRPr="006279E2">
        <w:rPr>
          <w:rFonts w:ascii="Times New Roman" w:hAnsi="Times New Roman" w:cs="Times New Roman"/>
          <w:sz w:val="24"/>
          <w:szCs w:val="24"/>
        </w:rPr>
        <w:t xml:space="preserve">tiprinātas patērētāja maksātspējas izvērtējuma prasības, samazinot iespēju izsniegt aizdevumu personai, kas nespēs aizdevumu atmaksāt. </w:t>
      </w:r>
    </w:p>
    <w:p w14:paraId="08953C39" w14:textId="77777777" w:rsidR="00225022" w:rsidRDefault="00225022" w:rsidP="00225022">
      <w:pPr>
        <w:spacing w:after="0" w:line="240" w:lineRule="auto"/>
        <w:jc w:val="both"/>
        <w:rPr>
          <w:rFonts w:ascii="Times New Roman" w:hAnsi="Times New Roman" w:cs="Times New Roman"/>
          <w:b/>
          <w:bCs/>
          <w:sz w:val="24"/>
          <w:szCs w:val="24"/>
        </w:rPr>
      </w:pPr>
    </w:p>
    <w:p w14:paraId="3035051E" w14:textId="35A4A686" w:rsidR="004C7F02" w:rsidRPr="006279E2" w:rsidRDefault="004C7F02" w:rsidP="00225022">
      <w:pPr>
        <w:spacing w:after="0" w:line="240" w:lineRule="auto"/>
        <w:jc w:val="both"/>
        <w:rPr>
          <w:rFonts w:ascii="Times New Roman" w:eastAsia="Calibri" w:hAnsi="Times New Roman" w:cs="Times New Roman"/>
          <w:sz w:val="24"/>
          <w:szCs w:val="24"/>
        </w:rPr>
      </w:pPr>
      <w:r w:rsidRPr="00225022">
        <w:rPr>
          <w:rFonts w:ascii="Times New Roman" w:hAnsi="Times New Roman" w:cs="Times New Roman"/>
          <w:sz w:val="24"/>
          <w:szCs w:val="24"/>
          <w:u w:val="single"/>
        </w:rPr>
        <w:t>Konkurences politikas jomā</w:t>
      </w:r>
      <w:r w:rsidRPr="006279E2">
        <w:rPr>
          <w:rFonts w:ascii="Times New Roman" w:hAnsi="Times New Roman" w:cs="Times New Roman"/>
          <w:sz w:val="24"/>
          <w:szCs w:val="24"/>
        </w:rPr>
        <w:t xml:space="preserve"> </w:t>
      </w:r>
      <w:r w:rsidR="00D979E7" w:rsidRPr="006279E2">
        <w:rPr>
          <w:rFonts w:ascii="Times New Roman" w:hAnsi="Times New Roman" w:cs="Times New Roman"/>
          <w:sz w:val="24"/>
          <w:szCs w:val="24"/>
        </w:rPr>
        <w:t xml:space="preserve">EM </w:t>
      </w:r>
      <w:r w:rsidRPr="006279E2">
        <w:rPr>
          <w:rFonts w:ascii="Times New Roman" w:hAnsi="Times New Roman" w:cs="Times New Roman"/>
          <w:sz w:val="24"/>
          <w:szCs w:val="24"/>
        </w:rPr>
        <w:t>turpinās iesākt</w:t>
      </w:r>
      <w:r w:rsidR="00D979E7" w:rsidRPr="006279E2">
        <w:rPr>
          <w:rFonts w:ascii="Times New Roman" w:hAnsi="Times New Roman" w:cs="Times New Roman"/>
          <w:sz w:val="24"/>
          <w:szCs w:val="24"/>
        </w:rPr>
        <w:t>o</w:t>
      </w:r>
      <w:r w:rsidRPr="006279E2">
        <w:rPr>
          <w:rFonts w:ascii="Times New Roman" w:hAnsi="Times New Roman" w:cs="Times New Roman"/>
          <w:sz w:val="24"/>
          <w:szCs w:val="24"/>
        </w:rPr>
        <w:t xml:space="preserve"> darb</w:t>
      </w:r>
      <w:r w:rsidR="00D979E7" w:rsidRPr="006279E2">
        <w:rPr>
          <w:rFonts w:ascii="Times New Roman" w:hAnsi="Times New Roman" w:cs="Times New Roman"/>
          <w:sz w:val="24"/>
          <w:szCs w:val="24"/>
        </w:rPr>
        <w:t xml:space="preserve">u </w:t>
      </w:r>
      <w:r w:rsidRPr="006279E2">
        <w:rPr>
          <w:rFonts w:ascii="Times New Roman" w:hAnsi="Times New Roman" w:cs="Times New Roman"/>
          <w:sz w:val="24"/>
          <w:szCs w:val="24"/>
        </w:rPr>
        <w:t xml:space="preserve">informatīvā ziņojuma izstrādes un iesniegšanas izskatīšanai Ministru kabinetā, kurā tiktu sniegts izvērtējums par apzinātiem iespējamajiem risinājumiem centralizētas zaudējumu atlīdzināšanas kārtības (mehānisma), kādā publisko pasūtītāju vārdā varētu tikt atgūti no tirgus dalībniekiem konkurences tiesību pārkāpumu rezultātā radītie zaudējumi, ieviešanai vai alternatīvu risinājumu ieviešanai, kas veicinātu aktīvāku publisko pasūtītāju iesaisti zaudējumu atgūšanas procesā. </w:t>
      </w:r>
      <w:r w:rsidR="00D979E7" w:rsidRPr="006279E2">
        <w:rPr>
          <w:rFonts w:ascii="Times New Roman" w:hAnsi="Times New Roman" w:cs="Times New Roman"/>
          <w:sz w:val="24"/>
          <w:szCs w:val="24"/>
        </w:rPr>
        <w:t>Tāpat nākamgad t</w:t>
      </w:r>
      <w:r w:rsidRPr="006279E2">
        <w:rPr>
          <w:rFonts w:ascii="Times New Roman" w:hAnsi="Times New Roman" w:cs="Times New Roman"/>
          <w:sz w:val="24"/>
          <w:szCs w:val="24"/>
        </w:rPr>
        <w:t xml:space="preserve">iks izveidota Konkurences padomes konsultatīvā padome </w:t>
      </w:r>
      <w:r w:rsidRPr="006279E2">
        <w:rPr>
          <w:rFonts w:ascii="Times New Roman" w:eastAsia="Calibri" w:hAnsi="Times New Roman" w:cs="Times New Roman"/>
          <w:sz w:val="24"/>
          <w:szCs w:val="24"/>
        </w:rPr>
        <w:t xml:space="preserve">ciešākas un efektīvākas sadarbības organizēšanai ar sadarbības partneriem konkurences politikas izstrādes un piemērošanas jautājumos, tajā skaitā sniedzot konkurences uzraudzības iestādei ieteikumus par darbības stratēģiju un konkurences uzraudzības virzieniem un darba pilnveidošanas iespējām, kā arī atzinumus par tās sagatavotajām vadlīnijām, lietu </w:t>
      </w:r>
      <w:proofErr w:type="spellStart"/>
      <w:r w:rsidRPr="006279E2">
        <w:rPr>
          <w:rFonts w:ascii="Times New Roman" w:eastAsia="Calibri" w:hAnsi="Times New Roman" w:cs="Times New Roman"/>
          <w:sz w:val="24"/>
          <w:szCs w:val="24"/>
        </w:rPr>
        <w:t>prioritizācijas</w:t>
      </w:r>
      <w:proofErr w:type="spellEnd"/>
      <w:r w:rsidRPr="006279E2">
        <w:rPr>
          <w:rFonts w:ascii="Times New Roman" w:eastAsia="Calibri" w:hAnsi="Times New Roman" w:cs="Times New Roman"/>
          <w:sz w:val="24"/>
          <w:szCs w:val="24"/>
        </w:rPr>
        <w:t xml:space="preserve"> stratēģiju, Konkurences padomes darbības prioritātēm un darbības pārskatu. Vienlaikus tiks sagatavoti priekšlikumi arī nepieciešamajiem pilnveidojumiem normatīvajos aktos, lai pēc jaunu Eiropas Parlamenta un Padomes priekšlikumu pieņemšanas ES likumdošanā – </w:t>
      </w:r>
      <w:r w:rsidRPr="006279E2">
        <w:rPr>
          <w:rFonts w:ascii="Times New Roman" w:hAnsi="Times New Roman" w:cs="Times New Roman"/>
          <w:sz w:val="24"/>
          <w:szCs w:val="24"/>
        </w:rPr>
        <w:t>Digitālo tirgu tiesību akta un regulas par ārvalstu subsīdijām, kas izkropļo iekšējo tirgu</w:t>
      </w:r>
      <w:r w:rsidRPr="006279E2">
        <w:rPr>
          <w:rFonts w:ascii="Times New Roman" w:eastAsia="Calibri" w:hAnsi="Times New Roman" w:cs="Times New Roman"/>
          <w:sz w:val="24"/>
          <w:szCs w:val="24"/>
        </w:rPr>
        <w:t xml:space="preserve">, </w:t>
      </w:r>
      <w:r w:rsidR="00D979E7" w:rsidRPr="006279E2">
        <w:rPr>
          <w:rFonts w:ascii="Times New Roman" w:eastAsia="Calibri" w:hAnsi="Times New Roman" w:cs="Times New Roman"/>
          <w:sz w:val="24"/>
          <w:szCs w:val="24"/>
        </w:rPr>
        <w:t xml:space="preserve">deleģējot </w:t>
      </w:r>
      <w:r w:rsidRPr="006279E2">
        <w:rPr>
          <w:rFonts w:ascii="Times New Roman" w:hAnsi="Times New Roman" w:cs="Times New Roman"/>
          <w:sz w:val="24"/>
          <w:szCs w:val="24"/>
        </w:rPr>
        <w:t>uzraudzīb</w:t>
      </w:r>
      <w:r w:rsidR="00D979E7" w:rsidRPr="006279E2">
        <w:rPr>
          <w:rFonts w:ascii="Times New Roman" w:hAnsi="Times New Roman" w:cs="Times New Roman"/>
          <w:sz w:val="24"/>
          <w:szCs w:val="24"/>
        </w:rPr>
        <w:t>u šajā</w:t>
      </w:r>
      <w:r w:rsidRPr="006279E2">
        <w:rPr>
          <w:rFonts w:ascii="Times New Roman" w:hAnsi="Times New Roman" w:cs="Times New Roman"/>
          <w:sz w:val="24"/>
          <w:szCs w:val="24"/>
        </w:rPr>
        <w:t xml:space="preserve"> jomā </w:t>
      </w:r>
      <w:r w:rsidRPr="006279E2">
        <w:rPr>
          <w:rFonts w:ascii="Times New Roman" w:eastAsia="Calibri" w:hAnsi="Times New Roman" w:cs="Times New Roman"/>
          <w:sz w:val="24"/>
          <w:szCs w:val="24"/>
        </w:rPr>
        <w:t>Konkurences padome</w:t>
      </w:r>
      <w:r w:rsidR="00D979E7" w:rsidRPr="006279E2">
        <w:rPr>
          <w:rFonts w:ascii="Times New Roman" w:eastAsia="Calibri" w:hAnsi="Times New Roman" w:cs="Times New Roman"/>
          <w:sz w:val="24"/>
          <w:szCs w:val="24"/>
        </w:rPr>
        <w:t>i</w:t>
      </w:r>
      <w:r w:rsidRPr="006279E2">
        <w:rPr>
          <w:rFonts w:ascii="Times New Roman" w:eastAsia="Calibri" w:hAnsi="Times New Roman" w:cs="Times New Roman"/>
          <w:sz w:val="24"/>
          <w:szCs w:val="24"/>
        </w:rPr>
        <w:t xml:space="preserve">.  </w:t>
      </w:r>
    </w:p>
    <w:p w14:paraId="47D09ABD" w14:textId="77777777" w:rsidR="00225022" w:rsidRDefault="00225022" w:rsidP="00225022">
      <w:pPr>
        <w:spacing w:after="0" w:line="240" w:lineRule="auto"/>
        <w:jc w:val="both"/>
        <w:rPr>
          <w:rFonts w:ascii="Times New Roman" w:hAnsi="Times New Roman" w:cs="Times New Roman"/>
          <w:b/>
          <w:bCs/>
          <w:sz w:val="24"/>
          <w:szCs w:val="24"/>
        </w:rPr>
      </w:pPr>
    </w:p>
    <w:p w14:paraId="7D121521" w14:textId="60340C81" w:rsidR="004C7F02" w:rsidRPr="006279E2" w:rsidRDefault="004C7F02" w:rsidP="00225022">
      <w:pPr>
        <w:spacing w:after="0" w:line="240" w:lineRule="auto"/>
        <w:jc w:val="both"/>
        <w:rPr>
          <w:rFonts w:ascii="Times New Roman" w:hAnsi="Times New Roman" w:cs="Times New Roman"/>
          <w:sz w:val="24"/>
          <w:szCs w:val="24"/>
        </w:rPr>
      </w:pPr>
      <w:r w:rsidRPr="00225022">
        <w:rPr>
          <w:rFonts w:ascii="Times New Roman" w:hAnsi="Times New Roman" w:cs="Times New Roman"/>
          <w:sz w:val="24"/>
          <w:szCs w:val="24"/>
          <w:u w:val="single"/>
        </w:rPr>
        <w:lastRenderedPageBreak/>
        <w:t>Atbilstības novērtēšanas jomā</w:t>
      </w:r>
      <w:r w:rsidRPr="006279E2">
        <w:rPr>
          <w:rFonts w:ascii="Times New Roman" w:hAnsi="Times New Roman" w:cs="Times New Roman"/>
          <w:sz w:val="24"/>
          <w:szCs w:val="24"/>
        </w:rPr>
        <w:t xml:space="preserve"> turpinās</w:t>
      </w:r>
      <w:r w:rsidR="00D979E7" w:rsidRPr="006279E2">
        <w:rPr>
          <w:rFonts w:ascii="Times New Roman" w:hAnsi="Times New Roman" w:cs="Times New Roman"/>
          <w:sz w:val="24"/>
          <w:szCs w:val="24"/>
        </w:rPr>
        <w:t>ies</w:t>
      </w:r>
      <w:r w:rsidRPr="006279E2">
        <w:rPr>
          <w:rFonts w:ascii="Times New Roman" w:hAnsi="Times New Roman" w:cs="Times New Roman"/>
          <w:sz w:val="24"/>
          <w:szCs w:val="24"/>
        </w:rPr>
        <w:t xml:space="preserve"> darbs pie atbilstības novērtēšanas sistēmas uzlabošanas pasākumu īstenošanas, lai risinātu jautājumu par paziņoto institūciju profesionālo civiltiesisko apdrošināšanu, kā arī</w:t>
      </w:r>
      <w:r w:rsidRPr="006279E2">
        <w:rPr>
          <w:rFonts w:ascii="Times New Roman" w:hAnsi="Times New Roman" w:cs="Times New Roman"/>
          <w:i/>
          <w:iCs/>
          <w:sz w:val="24"/>
          <w:szCs w:val="24"/>
        </w:rPr>
        <w:t xml:space="preserve"> </w:t>
      </w:r>
      <w:r w:rsidRPr="006279E2">
        <w:rPr>
          <w:rFonts w:ascii="Times New Roman" w:hAnsi="Times New Roman" w:cs="Times New Roman"/>
          <w:sz w:val="24"/>
          <w:szCs w:val="24"/>
        </w:rPr>
        <w:t>lai pilnveidotu mērīšanas līdzekļu valsts metroloģiskās kontroles sistēmu attiecībā uz enerģijas skaitīju jautājumiem.</w:t>
      </w:r>
    </w:p>
    <w:p w14:paraId="5E20DCCD" w14:textId="77777777" w:rsidR="00225022" w:rsidRDefault="00225022" w:rsidP="00225022">
      <w:pPr>
        <w:spacing w:after="0" w:line="240" w:lineRule="auto"/>
        <w:jc w:val="both"/>
        <w:rPr>
          <w:rFonts w:ascii="Times New Roman" w:hAnsi="Times New Roman" w:cs="Times New Roman"/>
          <w:b/>
          <w:bCs/>
          <w:sz w:val="24"/>
          <w:szCs w:val="24"/>
        </w:rPr>
      </w:pPr>
    </w:p>
    <w:p w14:paraId="39C18CE6" w14:textId="28CD1163" w:rsidR="004C7F02" w:rsidRPr="006279E2" w:rsidRDefault="004C7F02" w:rsidP="00225022">
      <w:pPr>
        <w:spacing w:after="0" w:line="240" w:lineRule="auto"/>
        <w:jc w:val="both"/>
        <w:rPr>
          <w:rFonts w:ascii="Times New Roman" w:hAnsi="Times New Roman" w:cs="Times New Roman"/>
          <w:sz w:val="24"/>
          <w:szCs w:val="24"/>
        </w:rPr>
      </w:pPr>
      <w:r w:rsidRPr="00225022">
        <w:rPr>
          <w:rFonts w:ascii="Times New Roman" w:hAnsi="Times New Roman" w:cs="Times New Roman"/>
          <w:sz w:val="24"/>
          <w:szCs w:val="24"/>
          <w:u w:val="single"/>
        </w:rPr>
        <w:t>Bīstamo iekārtu tehniskās uzraudzības</w:t>
      </w:r>
      <w:r w:rsidRPr="006279E2">
        <w:rPr>
          <w:rFonts w:ascii="Times New Roman" w:hAnsi="Times New Roman" w:cs="Times New Roman"/>
          <w:sz w:val="24"/>
          <w:szCs w:val="24"/>
        </w:rPr>
        <w:t xml:space="preserve"> pilnveides nolūkos tiks sagatavoti priekšlikumi grozījumiem Ministru kabineta </w:t>
      </w:r>
      <w:r w:rsidR="00D979E7" w:rsidRPr="006279E2">
        <w:rPr>
          <w:rFonts w:ascii="Times New Roman" w:hAnsi="Times New Roman" w:cs="Times New Roman"/>
          <w:sz w:val="24"/>
          <w:szCs w:val="24"/>
        </w:rPr>
        <w:t>noteikumos</w:t>
      </w:r>
      <w:r w:rsidRPr="006279E2">
        <w:rPr>
          <w:rFonts w:ascii="Times New Roman" w:hAnsi="Times New Roman" w:cs="Times New Roman"/>
          <w:sz w:val="24"/>
          <w:szCs w:val="24"/>
        </w:rPr>
        <w:t>, lai aktualizētu prasības saistībā ar degvielas uzpildes staciju tehnoloģiskajām iekārtām, tai skaitā precizē</w:t>
      </w:r>
      <w:r w:rsidR="00D979E7" w:rsidRPr="006279E2">
        <w:rPr>
          <w:rFonts w:ascii="Times New Roman" w:hAnsi="Times New Roman" w:cs="Times New Roman"/>
          <w:sz w:val="24"/>
          <w:szCs w:val="24"/>
        </w:rPr>
        <w:t>jo</w:t>
      </w:r>
      <w:r w:rsidRPr="006279E2">
        <w:rPr>
          <w:rFonts w:ascii="Times New Roman" w:hAnsi="Times New Roman" w:cs="Times New Roman"/>
          <w:sz w:val="24"/>
          <w:szCs w:val="24"/>
        </w:rPr>
        <w:t>t definīcijas un izņēmuma gadījumus, kas attiecas uz degvielas pašpatēriņa tvertnēm.</w:t>
      </w:r>
    </w:p>
    <w:p w14:paraId="51471B69" w14:textId="77777777" w:rsidR="004C7F02" w:rsidRPr="006279E2" w:rsidRDefault="004C7F02" w:rsidP="00225022">
      <w:pPr>
        <w:spacing w:after="0" w:line="240" w:lineRule="auto"/>
        <w:jc w:val="both"/>
        <w:rPr>
          <w:rFonts w:ascii="Times New Roman" w:hAnsi="Times New Roman" w:cs="Times New Roman"/>
          <w:sz w:val="24"/>
          <w:szCs w:val="24"/>
        </w:rPr>
      </w:pPr>
    </w:p>
    <w:p w14:paraId="48FD24D0" w14:textId="411A98FA" w:rsidR="004C7F02" w:rsidRPr="006279E2" w:rsidRDefault="004C7F02" w:rsidP="00225022">
      <w:pPr>
        <w:spacing w:after="0" w:line="240" w:lineRule="auto"/>
        <w:jc w:val="both"/>
        <w:rPr>
          <w:rFonts w:ascii="Times New Roman" w:eastAsia="Times New Roman" w:hAnsi="Times New Roman" w:cs="Times New Roman"/>
          <w:sz w:val="24"/>
          <w:szCs w:val="24"/>
        </w:rPr>
      </w:pPr>
      <w:r w:rsidRPr="00225022">
        <w:rPr>
          <w:rFonts w:ascii="Times New Roman" w:hAnsi="Times New Roman" w:cs="Times New Roman"/>
          <w:sz w:val="24"/>
          <w:szCs w:val="24"/>
          <w:u w:val="single"/>
        </w:rPr>
        <w:t>Vienot</w:t>
      </w:r>
      <w:r w:rsidR="00A328E9" w:rsidRPr="00225022">
        <w:rPr>
          <w:rFonts w:ascii="Times New Roman" w:hAnsi="Times New Roman" w:cs="Times New Roman"/>
          <w:sz w:val="24"/>
          <w:szCs w:val="24"/>
          <w:u w:val="single"/>
        </w:rPr>
        <w:t>ā</w:t>
      </w:r>
      <w:r w:rsidRPr="00225022">
        <w:rPr>
          <w:rFonts w:ascii="Times New Roman" w:hAnsi="Times New Roman" w:cs="Times New Roman"/>
          <w:sz w:val="24"/>
          <w:szCs w:val="24"/>
          <w:u w:val="single"/>
        </w:rPr>
        <w:t xml:space="preserve"> tirgus</w:t>
      </w:r>
      <w:r w:rsidR="00A328E9" w:rsidRPr="00225022">
        <w:rPr>
          <w:rFonts w:ascii="Times New Roman" w:hAnsi="Times New Roman" w:cs="Times New Roman"/>
          <w:sz w:val="24"/>
          <w:szCs w:val="24"/>
          <w:u w:val="single"/>
        </w:rPr>
        <w:t xml:space="preserve"> stiprināšanai</w:t>
      </w:r>
      <w:r w:rsidR="00A328E9" w:rsidRPr="006279E2">
        <w:rPr>
          <w:rFonts w:ascii="Times New Roman" w:hAnsi="Times New Roman" w:cs="Times New Roman"/>
          <w:b/>
          <w:bCs/>
          <w:sz w:val="24"/>
          <w:szCs w:val="24"/>
        </w:rPr>
        <w:t xml:space="preserve"> </w:t>
      </w:r>
      <w:r w:rsidR="00A328E9" w:rsidRPr="006279E2">
        <w:rPr>
          <w:rFonts w:ascii="Times New Roman" w:hAnsi="Times New Roman" w:cs="Times New Roman"/>
          <w:sz w:val="24"/>
          <w:szCs w:val="24"/>
        </w:rPr>
        <w:t xml:space="preserve">EM, pārstāvot Latvijas intereses, piedalīsies dalībvalstu diskusijās par jauno </w:t>
      </w:r>
      <w:r w:rsidR="00A328E9" w:rsidRPr="006279E2">
        <w:rPr>
          <w:rFonts w:ascii="Times New Roman" w:eastAsia="Times New Roman" w:hAnsi="Times New Roman" w:cs="Times New Roman"/>
          <w:sz w:val="24"/>
          <w:szCs w:val="24"/>
        </w:rPr>
        <w:t>ES likumdošanas iniciatīvu par Vienotā tirgus ārkārtas instrumenta (SMEI)</w:t>
      </w:r>
      <w:r w:rsidR="00A328E9" w:rsidRPr="006279E2">
        <w:rPr>
          <w:rStyle w:val="FootnoteReference"/>
          <w:rFonts w:ascii="Times New Roman" w:eastAsia="Times New Roman" w:hAnsi="Times New Roman" w:cs="Times New Roman"/>
          <w:sz w:val="24"/>
          <w:szCs w:val="24"/>
        </w:rPr>
        <w:footnoteReference w:id="1"/>
      </w:r>
      <w:r w:rsidR="00A328E9" w:rsidRPr="006279E2">
        <w:rPr>
          <w:rFonts w:ascii="Times New Roman" w:eastAsia="Times New Roman" w:hAnsi="Times New Roman" w:cs="Times New Roman"/>
          <w:sz w:val="24"/>
          <w:szCs w:val="24"/>
        </w:rPr>
        <w:t xml:space="preserve"> izveidi. Iniciatīvas mērķis ir izveidot mehānismu, ar kura palīdzību varētu novērst kritisko preču un pakalpojumu trūkumu, panākt piegādes ķēžu noturību un risināt personu brīvu pārvietošanos iespējamo nākotnes krīžu kontekstā. Latvija un </w:t>
      </w:r>
      <w:r w:rsidRPr="006279E2">
        <w:rPr>
          <w:rFonts w:ascii="Times New Roman" w:eastAsia="Times New Roman" w:hAnsi="Times New Roman" w:cs="Times New Roman"/>
          <w:sz w:val="24"/>
          <w:szCs w:val="24"/>
        </w:rPr>
        <w:t xml:space="preserve">liela daļa dalībvalstu  uzskata, ka </w:t>
      </w:r>
      <w:r w:rsidR="00A328E9" w:rsidRPr="006279E2">
        <w:rPr>
          <w:rFonts w:ascii="Times New Roman" w:eastAsia="Times New Roman" w:hAnsi="Times New Roman" w:cs="Times New Roman"/>
          <w:sz w:val="24"/>
          <w:szCs w:val="24"/>
        </w:rPr>
        <w:t>iniciatīva</w:t>
      </w:r>
      <w:r w:rsidRPr="006279E2">
        <w:rPr>
          <w:rFonts w:ascii="Times New Roman" w:eastAsia="Times New Roman" w:hAnsi="Times New Roman" w:cs="Times New Roman"/>
          <w:sz w:val="24"/>
          <w:szCs w:val="24"/>
        </w:rPr>
        <w:t xml:space="preserve"> tā</w:t>
      </w:r>
      <w:r w:rsidR="00A328E9" w:rsidRPr="006279E2">
        <w:rPr>
          <w:rFonts w:ascii="Times New Roman" w:eastAsia="Times New Roman" w:hAnsi="Times New Roman" w:cs="Times New Roman"/>
          <w:sz w:val="24"/>
          <w:szCs w:val="24"/>
        </w:rPr>
        <w:t>s</w:t>
      </w:r>
      <w:r w:rsidRPr="006279E2">
        <w:rPr>
          <w:rFonts w:ascii="Times New Roman" w:eastAsia="Times New Roman" w:hAnsi="Times New Roman" w:cs="Times New Roman"/>
          <w:sz w:val="24"/>
          <w:szCs w:val="24"/>
        </w:rPr>
        <w:t xml:space="preserve"> patreizējā redakcijā raisa bažas par papildus tiesībām un pienākumiem, ko tas paredz uzlikt uzņēmumiem krīzes laikā.</w:t>
      </w:r>
    </w:p>
    <w:p w14:paraId="4458009E" w14:textId="77777777" w:rsidR="00225022" w:rsidRDefault="00225022" w:rsidP="00225022">
      <w:pPr>
        <w:spacing w:after="0" w:line="240" w:lineRule="auto"/>
        <w:jc w:val="both"/>
        <w:rPr>
          <w:rFonts w:ascii="Times New Roman" w:eastAsia="Times New Roman" w:hAnsi="Times New Roman" w:cs="Times New Roman"/>
          <w:sz w:val="24"/>
          <w:szCs w:val="24"/>
        </w:rPr>
      </w:pPr>
    </w:p>
    <w:p w14:paraId="327A0BC4" w14:textId="2DC39C82" w:rsidR="004C7F02" w:rsidRPr="006279E2" w:rsidRDefault="00A328E9" w:rsidP="00225022">
      <w:pPr>
        <w:spacing w:after="0" w:line="240" w:lineRule="auto"/>
        <w:jc w:val="both"/>
        <w:rPr>
          <w:rFonts w:ascii="Times New Roman" w:eastAsia="Times New Roman" w:hAnsi="Times New Roman" w:cs="Times New Roman"/>
          <w:sz w:val="24"/>
          <w:szCs w:val="24"/>
        </w:rPr>
      </w:pPr>
      <w:r w:rsidRPr="006279E2">
        <w:rPr>
          <w:rFonts w:ascii="Times New Roman" w:eastAsia="Times New Roman" w:hAnsi="Times New Roman" w:cs="Times New Roman"/>
          <w:sz w:val="24"/>
          <w:szCs w:val="24"/>
        </w:rPr>
        <w:t xml:space="preserve">Tāpat EM aktīvi iesaistīsies diskusijās par jauno Eiropas Komisijas Regulas priekšlikumu </w:t>
      </w:r>
      <w:r w:rsidR="004C7F02" w:rsidRPr="006279E2">
        <w:rPr>
          <w:rFonts w:ascii="Times New Roman" w:eastAsia="Times New Roman" w:hAnsi="Times New Roman" w:cs="Times New Roman"/>
          <w:sz w:val="24"/>
          <w:szCs w:val="24"/>
        </w:rPr>
        <w:t xml:space="preserve">attiecībā uz ilgtspējīgu produktu </w:t>
      </w:r>
      <w:proofErr w:type="spellStart"/>
      <w:r w:rsidR="004C7F02" w:rsidRPr="006279E2">
        <w:rPr>
          <w:rFonts w:ascii="Times New Roman" w:eastAsia="Times New Roman" w:hAnsi="Times New Roman" w:cs="Times New Roman"/>
          <w:sz w:val="24"/>
          <w:szCs w:val="24"/>
        </w:rPr>
        <w:t>ekodizainu</w:t>
      </w:r>
      <w:proofErr w:type="spellEnd"/>
      <w:r w:rsidR="004C7F02" w:rsidRPr="006279E2">
        <w:rPr>
          <w:rStyle w:val="FootnoteReference"/>
          <w:rFonts w:ascii="Times New Roman" w:eastAsia="Times New Roman" w:hAnsi="Times New Roman" w:cs="Times New Roman"/>
          <w:sz w:val="24"/>
          <w:szCs w:val="24"/>
        </w:rPr>
        <w:footnoteReference w:id="2"/>
      </w:r>
      <w:r w:rsidR="004C7F02" w:rsidRPr="006279E2">
        <w:rPr>
          <w:rFonts w:ascii="Times New Roman" w:eastAsia="Times New Roman" w:hAnsi="Times New Roman" w:cs="Times New Roman"/>
          <w:sz w:val="24"/>
          <w:szCs w:val="24"/>
        </w:rPr>
        <w:t xml:space="preserve">. </w:t>
      </w:r>
      <w:r w:rsidRPr="006279E2">
        <w:rPr>
          <w:rFonts w:ascii="Times New Roman" w:eastAsia="Times New Roman" w:hAnsi="Times New Roman" w:cs="Times New Roman"/>
          <w:sz w:val="24"/>
          <w:szCs w:val="24"/>
        </w:rPr>
        <w:t>Tas</w:t>
      </w:r>
      <w:r w:rsidR="004C7F02" w:rsidRPr="006279E2">
        <w:rPr>
          <w:rFonts w:ascii="Times New Roman" w:eastAsia="Times New Roman" w:hAnsi="Times New Roman" w:cs="Times New Roman"/>
          <w:sz w:val="24"/>
          <w:szCs w:val="24"/>
        </w:rPr>
        <w:t xml:space="preserve"> paredz uzlabot produktu ilgtspējību, nodrošināt digitālu piekļuvi informācijai par produktu ietekmi uz vidi, kā arī stimulēt ilgtspējīgāku produktu nokļūšanu tirgū. </w:t>
      </w:r>
      <w:r w:rsidRPr="006279E2">
        <w:rPr>
          <w:rFonts w:ascii="Times New Roman" w:eastAsia="Times New Roman" w:hAnsi="Times New Roman" w:cs="Times New Roman"/>
          <w:sz w:val="24"/>
          <w:szCs w:val="24"/>
        </w:rPr>
        <w:t xml:space="preserve">Regulējums attieksies uz patērētajiem, tirgus uzraudzības un muitas iestādēm, bet jo īpaši uz produktu ražotājiem un tirgotājiem. </w:t>
      </w:r>
      <w:r w:rsidR="004C7F02" w:rsidRPr="006279E2">
        <w:rPr>
          <w:rFonts w:ascii="Times New Roman" w:eastAsia="Times New Roman" w:hAnsi="Times New Roman" w:cs="Times New Roman"/>
          <w:sz w:val="24"/>
          <w:szCs w:val="24"/>
        </w:rPr>
        <w:t xml:space="preserve">Paredzams, ka vienošanās par Regulas priekšlikumu varētu tikt panākta 2023. gada laikā. </w:t>
      </w:r>
    </w:p>
    <w:p w14:paraId="4E809815" w14:textId="77777777" w:rsidR="00A328E9" w:rsidRPr="006279E2" w:rsidRDefault="00A328E9" w:rsidP="00225022">
      <w:pPr>
        <w:spacing w:after="0" w:line="240" w:lineRule="auto"/>
        <w:jc w:val="both"/>
        <w:rPr>
          <w:rFonts w:ascii="Times New Roman" w:hAnsi="Times New Roman" w:cs="Times New Roman"/>
          <w:b/>
          <w:bCs/>
          <w:sz w:val="24"/>
          <w:szCs w:val="24"/>
        </w:rPr>
      </w:pPr>
    </w:p>
    <w:p w14:paraId="2EF50DDC" w14:textId="22EEA50E" w:rsidR="004C7F02" w:rsidRPr="006279E2" w:rsidRDefault="00A328E9" w:rsidP="00225022">
      <w:pPr>
        <w:spacing w:after="0" w:line="240" w:lineRule="auto"/>
        <w:jc w:val="both"/>
        <w:rPr>
          <w:rFonts w:ascii="Times New Roman" w:eastAsia="Times New Roman" w:hAnsi="Times New Roman" w:cs="Times New Roman"/>
          <w:sz w:val="24"/>
          <w:szCs w:val="24"/>
        </w:rPr>
      </w:pPr>
      <w:r w:rsidRPr="006279E2">
        <w:rPr>
          <w:rFonts w:ascii="Times New Roman" w:hAnsi="Times New Roman" w:cs="Times New Roman"/>
          <w:sz w:val="24"/>
          <w:szCs w:val="24"/>
        </w:rPr>
        <w:t>Turpinot paplašināt un stiprināt</w:t>
      </w:r>
      <w:r w:rsidRPr="006279E2">
        <w:rPr>
          <w:rFonts w:ascii="Times New Roman" w:hAnsi="Times New Roman" w:cs="Times New Roman"/>
          <w:b/>
          <w:bCs/>
          <w:sz w:val="24"/>
          <w:szCs w:val="24"/>
        </w:rPr>
        <w:t xml:space="preserve"> </w:t>
      </w:r>
      <w:r w:rsidRPr="00225022">
        <w:rPr>
          <w:rFonts w:ascii="Times New Roman" w:hAnsi="Times New Roman" w:cs="Times New Roman"/>
          <w:sz w:val="24"/>
          <w:szCs w:val="24"/>
          <w:u w:val="single"/>
        </w:rPr>
        <w:t>ā</w:t>
      </w:r>
      <w:r w:rsidR="004C7F02" w:rsidRPr="00225022">
        <w:rPr>
          <w:rFonts w:ascii="Times New Roman" w:hAnsi="Times New Roman" w:cs="Times New Roman"/>
          <w:sz w:val="24"/>
          <w:szCs w:val="24"/>
          <w:u w:val="single"/>
        </w:rPr>
        <w:t>rējās ekonomiskās attiecības</w:t>
      </w:r>
      <w:r w:rsidRPr="00225022">
        <w:rPr>
          <w:rFonts w:ascii="Times New Roman" w:hAnsi="Times New Roman" w:cs="Times New Roman"/>
          <w:sz w:val="24"/>
          <w:szCs w:val="24"/>
          <w:u w:val="single"/>
        </w:rPr>
        <w:t>,</w:t>
      </w:r>
      <w:r w:rsidRPr="006279E2">
        <w:rPr>
          <w:rFonts w:ascii="Times New Roman" w:hAnsi="Times New Roman" w:cs="Times New Roman"/>
          <w:sz w:val="24"/>
          <w:szCs w:val="24"/>
        </w:rPr>
        <w:t xml:space="preserve"> EM strādās pie sakaru </w:t>
      </w:r>
      <w:r w:rsidR="004C7F02" w:rsidRPr="006279E2">
        <w:rPr>
          <w:rFonts w:ascii="Times New Roman" w:eastAsia="Times New Roman" w:hAnsi="Times New Roman" w:cs="Times New Roman"/>
          <w:sz w:val="24"/>
          <w:szCs w:val="24"/>
        </w:rPr>
        <w:t>intensificēšana</w:t>
      </w:r>
      <w:r w:rsidRPr="006279E2">
        <w:rPr>
          <w:rFonts w:ascii="Times New Roman" w:eastAsia="Times New Roman" w:hAnsi="Times New Roman" w:cs="Times New Roman"/>
          <w:sz w:val="24"/>
          <w:szCs w:val="24"/>
        </w:rPr>
        <w:t>s</w:t>
      </w:r>
      <w:r w:rsidR="004C7F02" w:rsidRPr="006279E2">
        <w:rPr>
          <w:rFonts w:ascii="Times New Roman" w:eastAsia="Times New Roman" w:hAnsi="Times New Roman" w:cs="Times New Roman"/>
          <w:sz w:val="24"/>
          <w:szCs w:val="24"/>
        </w:rPr>
        <w:t xml:space="preserve"> un stiprināšana</w:t>
      </w:r>
      <w:r w:rsidRPr="006279E2">
        <w:rPr>
          <w:rFonts w:ascii="Times New Roman" w:eastAsia="Times New Roman" w:hAnsi="Times New Roman" w:cs="Times New Roman"/>
          <w:sz w:val="24"/>
          <w:szCs w:val="24"/>
        </w:rPr>
        <w:t>s</w:t>
      </w:r>
      <w:r w:rsidR="004C7F02" w:rsidRPr="006279E2">
        <w:rPr>
          <w:rFonts w:ascii="Times New Roman" w:eastAsia="Times New Roman" w:hAnsi="Times New Roman" w:cs="Times New Roman"/>
          <w:sz w:val="24"/>
          <w:szCs w:val="24"/>
        </w:rPr>
        <w:t xml:space="preserve"> ar ES valstīm (īpaši ar Lietuvu, Igauniju, Skandināvijas valstīm, Franciju, Vāciju), Saūda Arābiju, A</w:t>
      </w:r>
      <w:r w:rsidRPr="006279E2">
        <w:rPr>
          <w:rFonts w:ascii="Times New Roman" w:eastAsia="Times New Roman" w:hAnsi="Times New Roman" w:cs="Times New Roman"/>
          <w:sz w:val="24"/>
          <w:szCs w:val="24"/>
        </w:rPr>
        <w:t xml:space="preserve">pvienotajiem </w:t>
      </w:r>
      <w:r w:rsidR="004C7F02" w:rsidRPr="006279E2">
        <w:rPr>
          <w:rFonts w:ascii="Times New Roman" w:eastAsia="Times New Roman" w:hAnsi="Times New Roman" w:cs="Times New Roman"/>
          <w:sz w:val="24"/>
          <w:szCs w:val="24"/>
        </w:rPr>
        <w:t>A</w:t>
      </w:r>
      <w:r w:rsidRPr="006279E2">
        <w:rPr>
          <w:rFonts w:ascii="Times New Roman" w:eastAsia="Times New Roman" w:hAnsi="Times New Roman" w:cs="Times New Roman"/>
          <w:sz w:val="24"/>
          <w:szCs w:val="24"/>
        </w:rPr>
        <w:t xml:space="preserve">rābu </w:t>
      </w:r>
      <w:r w:rsidR="004C7F02" w:rsidRPr="006279E2">
        <w:rPr>
          <w:rFonts w:ascii="Times New Roman" w:eastAsia="Times New Roman" w:hAnsi="Times New Roman" w:cs="Times New Roman"/>
          <w:sz w:val="24"/>
          <w:szCs w:val="24"/>
        </w:rPr>
        <w:t>E</w:t>
      </w:r>
      <w:r w:rsidRPr="006279E2">
        <w:rPr>
          <w:rFonts w:ascii="Times New Roman" w:eastAsia="Times New Roman" w:hAnsi="Times New Roman" w:cs="Times New Roman"/>
          <w:sz w:val="24"/>
          <w:szCs w:val="24"/>
        </w:rPr>
        <w:t>mirātiem</w:t>
      </w:r>
      <w:r w:rsidR="004C7F02" w:rsidRPr="006279E2">
        <w:rPr>
          <w:rFonts w:ascii="Times New Roman" w:eastAsia="Times New Roman" w:hAnsi="Times New Roman" w:cs="Times New Roman"/>
          <w:sz w:val="24"/>
          <w:szCs w:val="24"/>
        </w:rPr>
        <w:t>, A</w:t>
      </w:r>
      <w:r w:rsidRPr="006279E2">
        <w:rPr>
          <w:rFonts w:ascii="Times New Roman" w:eastAsia="Times New Roman" w:hAnsi="Times New Roman" w:cs="Times New Roman"/>
          <w:sz w:val="24"/>
          <w:szCs w:val="24"/>
        </w:rPr>
        <w:t xml:space="preserve">merikas </w:t>
      </w:r>
      <w:r w:rsidR="004C7F02" w:rsidRPr="006279E2">
        <w:rPr>
          <w:rFonts w:ascii="Times New Roman" w:eastAsia="Times New Roman" w:hAnsi="Times New Roman" w:cs="Times New Roman"/>
          <w:sz w:val="24"/>
          <w:szCs w:val="24"/>
        </w:rPr>
        <w:t>S</w:t>
      </w:r>
      <w:r w:rsidRPr="006279E2">
        <w:rPr>
          <w:rFonts w:ascii="Times New Roman" w:eastAsia="Times New Roman" w:hAnsi="Times New Roman" w:cs="Times New Roman"/>
          <w:sz w:val="24"/>
          <w:szCs w:val="24"/>
        </w:rPr>
        <w:t xml:space="preserve">avienotajām </w:t>
      </w:r>
      <w:r w:rsidR="004C7F02" w:rsidRPr="006279E2">
        <w:rPr>
          <w:rFonts w:ascii="Times New Roman" w:eastAsia="Times New Roman" w:hAnsi="Times New Roman" w:cs="Times New Roman"/>
          <w:sz w:val="24"/>
          <w:szCs w:val="24"/>
        </w:rPr>
        <w:t>V</w:t>
      </w:r>
      <w:r w:rsidRPr="006279E2">
        <w:rPr>
          <w:rFonts w:ascii="Times New Roman" w:eastAsia="Times New Roman" w:hAnsi="Times New Roman" w:cs="Times New Roman"/>
          <w:sz w:val="24"/>
          <w:szCs w:val="24"/>
        </w:rPr>
        <w:t>alstīm</w:t>
      </w:r>
      <w:r w:rsidR="004C7F02" w:rsidRPr="006279E2">
        <w:rPr>
          <w:rFonts w:ascii="Times New Roman" w:eastAsia="Times New Roman" w:hAnsi="Times New Roman" w:cs="Times New Roman"/>
          <w:sz w:val="24"/>
          <w:szCs w:val="24"/>
        </w:rPr>
        <w:t xml:space="preserve">, Japānu, Dienvidkoreju, Ukrainu, </w:t>
      </w:r>
      <w:proofErr w:type="spellStart"/>
      <w:r w:rsidR="004C7F02" w:rsidRPr="006279E2">
        <w:rPr>
          <w:rFonts w:ascii="Times New Roman" w:eastAsia="Times New Roman" w:hAnsi="Times New Roman" w:cs="Times New Roman"/>
          <w:sz w:val="24"/>
          <w:szCs w:val="24"/>
        </w:rPr>
        <w:t>Centrālāzijas</w:t>
      </w:r>
      <w:proofErr w:type="spellEnd"/>
      <w:r w:rsidR="004C7F02" w:rsidRPr="006279E2">
        <w:rPr>
          <w:rFonts w:ascii="Times New Roman" w:eastAsia="Times New Roman" w:hAnsi="Times New Roman" w:cs="Times New Roman"/>
          <w:sz w:val="24"/>
          <w:szCs w:val="24"/>
        </w:rPr>
        <w:t xml:space="preserve"> valstīm (Uzbekistānu, Turkmenistānu). 2023. gadā plānotas 6 Starpvaldību komisijas/Apvienotās komitejas sēdes ar Gruziju, Ukrainu, Ķīnu, Moldovu, Uzbekistānu, Turkmenistānu. Latvijas ekonomisko interešu pārstāvībai un virzīšanai plānotas EM augstāko amatpersonu un uzņēmēju ārvalstu vizītes, t.sk. uz Saūda Arābiju, Franciju, Vāciju, Itāliju, ASV, Dienvidkoreju, Gruziju.</w:t>
      </w:r>
    </w:p>
    <w:p w14:paraId="0A2176FC" w14:textId="257F3AD7" w:rsidR="004C7F02" w:rsidRPr="006279E2" w:rsidRDefault="004C7F02" w:rsidP="00225022">
      <w:pPr>
        <w:spacing w:after="0" w:line="240" w:lineRule="auto"/>
        <w:jc w:val="both"/>
        <w:rPr>
          <w:rFonts w:ascii="Times New Roman" w:hAnsi="Times New Roman" w:cs="Times New Roman"/>
          <w:sz w:val="24"/>
          <w:szCs w:val="24"/>
        </w:rPr>
      </w:pPr>
    </w:p>
    <w:p w14:paraId="1D0116AF" w14:textId="3338B196" w:rsidR="00A328E9" w:rsidRPr="006279E2" w:rsidRDefault="00A328E9" w:rsidP="00225022">
      <w:pPr>
        <w:spacing w:after="0" w:line="240" w:lineRule="auto"/>
        <w:jc w:val="both"/>
        <w:rPr>
          <w:rFonts w:ascii="Times New Roman" w:hAnsi="Times New Roman" w:cs="Times New Roman"/>
          <w:sz w:val="24"/>
          <w:szCs w:val="24"/>
        </w:rPr>
      </w:pPr>
      <w:r w:rsidRPr="006279E2">
        <w:rPr>
          <w:rFonts w:ascii="Times New Roman" w:hAnsi="Times New Roman" w:cs="Times New Roman"/>
          <w:sz w:val="24"/>
          <w:szCs w:val="24"/>
        </w:rPr>
        <w:t xml:space="preserve">2023. gadā tiks turpināts </w:t>
      </w:r>
      <w:r w:rsidRPr="00225022">
        <w:rPr>
          <w:rFonts w:ascii="Times New Roman" w:hAnsi="Times New Roman" w:cs="Times New Roman"/>
          <w:sz w:val="24"/>
          <w:szCs w:val="24"/>
          <w:u w:val="single"/>
        </w:rPr>
        <w:t>atbalsts Ukrainas civiliedzīvotāju</w:t>
      </w:r>
      <w:r w:rsidRPr="006279E2">
        <w:rPr>
          <w:rFonts w:ascii="Times New Roman" w:hAnsi="Times New Roman" w:cs="Times New Roman"/>
          <w:sz w:val="24"/>
          <w:szCs w:val="24"/>
        </w:rPr>
        <w:t xml:space="preserve"> izmitināšanai un nodrošināšanai ar pārtiku līdzšinējā apmērā. </w:t>
      </w:r>
    </w:p>
    <w:p w14:paraId="02BF74E2" w14:textId="77777777" w:rsidR="00225022" w:rsidRDefault="00225022" w:rsidP="00225022">
      <w:pPr>
        <w:spacing w:after="0" w:line="240" w:lineRule="auto"/>
        <w:jc w:val="both"/>
        <w:rPr>
          <w:rFonts w:ascii="Times New Roman" w:hAnsi="Times New Roman" w:cs="Times New Roman"/>
          <w:sz w:val="24"/>
          <w:szCs w:val="24"/>
        </w:rPr>
      </w:pPr>
    </w:p>
    <w:p w14:paraId="41C60F58" w14:textId="7F1C7B9F" w:rsidR="00580BC1" w:rsidRPr="006279E2" w:rsidRDefault="00A328E9" w:rsidP="00225022">
      <w:pPr>
        <w:spacing w:after="0" w:line="240" w:lineRule="auto"/>
        <w:jc w:val="both"/>
        <w:rPr>
          <w:rFonts w:ascii="Times New Roman" w:hAnsi="Times New Roman" w:cs="Times New Roman"/>
          <w:sz w:val="24"/>
          <w:szCs w:val="24"/>
        </w:rPr>
      </w:pPr>
      <w:r w:rsidRPr="006279E2">
        <w:rPr>
          <w:rFonts w:ascii="Times New Roman" w:hAnsi="Times New Roman" w:cs="Times New Roman"/>
          <w:sz w:val="24"/>
          <w:szCs w:val="24"/>
        </w:rPr>
        <w:t xml:space="preserve">Tāpat nākamgad EM </w:t>
      </w:r>
      <w:r w:rsidR="00580BC1" w:rsidRPr="006279E2">
        <w:rPr>
          <w:rFonts w:ascii="Times New Roman" w:hAnsi="Times New Roman" w:cs="Times New Roman"/>
          <w:sz w:val="24"/>
          <w:szCs w:val="24"/>
        </w:rPr>
        <w:t xml:space="preserve">turpinās gatavot datos balstītus </w:t>
      </w:r>
      <w:r w:rsidR="00580BC1" w:rsidRPr="00225022">
        <w:rPr>
          <w:rFonts w:ascii="Times New Roman" w:hAnsi="Times New Roman" w:cs="Times New Roman"/>
          <w:sz w:val="24"/>
          <w:szCs w:val="24"/>
          <w:u w:val="single"/>
        </w:rPr>
        <w:t>analītiskos materiālus par aktualitātēm ekonomikā</w:t>
      </w:r>
      <w:r w:rsidR="00580BC1" w:rsidRPr="006279E2">
        <w:rPr>
          <w:rFonts w:ascii="Times New Roman" w:hAnsi="Times New Roman" w:cs="Times New Roman"/>
          <w:sz w:val="24"/>
          <w:szCs w:val="24"/>
        </w:rPr>
        <w:t xml:space="preserve"> – </w:t>
      </w:r>
      <w:proofErr w:type="spellStart"/>
      <w:r w:rsidR="00580BC1" w:rsidRPr="006279E2">
        <w:rPr>
          <w:rFonts w:ascii="Times New Roman" w:hAnsi="Times New Roman" w:cs="Times New Roman"/>
          <w:sz w:val="24"/>
          <w:szCs w:val="24"/>
        </w:rPr>
        <w:t>Makroapskat</w:t>
      </w:r>
      <w:r w:rsidRPr="006279E2">
        <w:rPr>
          <w:rFonts w:ascii="Times New Roman" w:hAnsi="Times New Roman" w:cs="Times New Roman"/>
          <w:sz w:val="24"/>
          <w:szCs w:val="24"/>
        </w:rPr>
        <w:t>u</w:t>
      </w:r>
      <w:proofErr w:type="spellEnd"/>
      <w:r w:rsidRPr="006279E2">
        <w:rPr>
          <w:rFonts w:ascii="Times New Roman" w:hAnsi="Times New Roman" w:cs="Times New Roman"/>
          <w:sz w:val="24"/>
          <w:szCs w:val="24"/>
        </w:rPr>
        <w:t xml:space="preserve"> divas reizes gadā – pavasarī un rudenī</w:t>
      </w:r>
      <w:r w:rsidR="008301CE" w:rsidRPr="006279E2">
        <w:rPr>
          <w:rFonts w:ascii="Times New Roman" w:hAnsi="Times New Roman" w:cs="Times New Roman"/>
          <w:sz w:val="24"/>
          <w:szCs w:val="24"/>
        </w:rPr>
        <w:t>. I</w:t>
      </w:r>
      <w:r w:rsidR="00580BC1" w:rsidRPr="006279E2">
        <w:rPr>
          <w:rFonts w:ascii="Times New Roman" w:hAnsi="Times New Roman" w:cs="Times New Roman"/>
          <w:sz w:val="24"/>
          <w:szCs w:val="24"/>
        </w:rPr>
        <w:t>kgadēj</w:t>
      </w:r>
      <w:r w:rsidR="008301CE" w:rsidRPr="006279E2">
        <w:rPr>
          <w:rFonts w:ascii="Times New Roman" w:hAnsi="Times New Roman" w:cs="Times New Roman"/>
          <w:sz w:val="24"/>
          <w:szCs w:val="24"/>
        </w:rPr>
        <w:t>ais</w:t>
      </w:r>
      <w:r w:rsidR="00580BC1" w:rsidRPr="006279E2">
        <w:rPr>
          <w:rFonts w:ascii="Times New Roman" w:hAnsi="Times New Roman" w:cs="Times New Roman"/>
          <w:sz w:val="24"/>
          <w:szCs w:val="24"/>
        </w:rPr>
        <w:t xml:space="preserve"> Latvijas ekonomikas attīstības pārskat</w:t>
      </w:r>
      <w:r w:rsidR="008301CE" w:rsidRPr="006279E2">
        <w:rPr>
          <w:rFonts w:ascii="Times New Roman" w:hAnsi="Times New Roman" w:cs="Times New Roman"/>
          <w:sz w:val="24"/>
          <w:szCs w:val="24"/>
        </w:rPr>
        <w:t>s</w:t>
      </w:r>
      <w:r w:rsidR="00580BC1" w:rsidRPr="006279E2">
        <w:rPr>
          <w:rFonts w:ascii="Times New Roman" w:hAnsi="Times New Roman" w:cs="Times New Roman"/>
          <w:sz w:val="24"/>
          <w:szCs w:val="24"/>
        </w:rPr>
        <w:t xml:space="preserve"> par 2022.gadu </w:t>
      </w:r>
      <w:r w:rsidR="008301CE" w:rsidRPr="006279E2">
        <w:rPr>
          <w:rFonts w:ascii="Times New Roman" w:hAnsi="Times New Roman" w:cs="Times New Roman"/>
          <w:sz w:val="24"/>
          <w:szCs w:val="24"/>
        </w:rPr>
        <w:t xml:space="preserve">tiks </w:t>
      </w:r>
      <w:r w:rsidR="00580BC1" w:rsidRPr="006279E2">
        <w:rPr>
          <w:rFonts w:ascii="Times New Roman" w:hAnsi="Times New Roman" w:cs="Times New Roman"/>
          <w:sz w:val="24"/>
          <w:szCs w:val="24"/>
        </w:rPr>
        <w:t>publicē</w:t>
      </w:r>
      <w:r w:rsidR="008301CE" w:rsidRPr="006279E2">
        <w:rPr>
          <w:rFonts w:ascii="Times New Roman" w:hAnsi="Times New Roman" w:cs="Times New Roman"/>
          <w:sz w:val="24"/>
          <w:szCs w:val="24"/>
        </w:rPr>
        <w:t>ts</w:t>
      </w:r>
      <w:r w:rsidR="00580BC1" w:rsidRPr="006279E2">
        <w:rPr>
          <w:rFonts w:ascii="Times New Roman" w:hAnsi="Times New Roman" w:cs="Times New Roman"/>
          <w:sz w:val="24"/>
          <w:szCs w:val="24"/>
        </w:rPr>
        <w:t xml:space="preserve"> </w:t>
      </w:r>
      <w:r w:rsidR="008301CE" w:rsidRPr="006279E2">
        <w:rPr>
          <w:rFonts w:ascii="Times New Roman" w:hAnsi="Times New Roman" w:cs="Times New Roman"/>
          <w:sz w:val="24"/>
          <w:szCs w:val="24"/>
        </w:rPr>
        <w:t>EM</w:t>
      </w:r>
      <w:r w:rsidR="00580BC1" w:rsidRPr="006279E2">
        <w:rPr>
          <w:rFonts w:ascii="Times New Roman" w:hAnsi="Times New Roman" w:cs="Times New Roman"/>
          <w:sz w:val="24"/>
          <w:szCs w:val="24"/>
        </w:rPr>
        <w:t xml:space="preserve"> mājas lapā </w:t>
      </w:r>
      <w:r w:rsidR="008301CE" w:rsidRPr="006279E2">
        <w:rPr>
          <w:rFonts w:ascii="Times New Roman" w:hAnsi="Times New Roman" w:cs="Times New Roman"/>
          <w:sz w:val="24"/>
          <w:szCs w:val="24"/>
        </w:rPr>
        <w:t xml:space="preserve">arī angļu valodā </w:t>
      </w:r>
      <w:r w:rsidR="00580BC1" w:rsidRPr="006279E2">
        <w:rPr>
          <w:rFonts w:ascii="Times New Roman" w:hAnsi="Times New Roman" w:cs="Times New Roman"/>
          <w:sz w:val="24"/>
          <w:szCs w:val="24"/>
        </w:rPr>
        <w:t>līdz 15.02.</w:t>
      </w:r>
      <w:r w:rsidR="008301CE" w:rsidRPr="006279E2">
        <w:rPr>
          <w:rFonts w:ascii="Times New Roman" w:hAnsi="Times New Roman" w:cs="Times New Roman"/>
          <w:sz w:val="24"/>
          <w:szCs w:val="24"/>
        </w:rPr>
        <w:t>, kā arī tiks</w:t>
      </w:r>
      <w:r w:rsidR="00580BC1" w:rsidRPr="006279E2">
        <w:rPr>
          <w:rFonts w:ascii="Times New Roman" w:hAnsi="Times New Roman" w:cs="Times New Roman"/>
          <w:sz w:val="24"/>
          <w:szCs w:val="24"/>
        </w:rPr>
        <w:t xml:space="preserve"> sagatavo</w:t>
      </w:r>
      <w:r w:rsidR="008301CE" w:rsidRPr="006279E2">
        <w:rPr>
          <w:rFonts w:ascii="Times New Roman" w:hAnsi="Times New Roman" w:cs="Times New Roman"/>
          <w:sz w:val="24"/>
          <w:szCs w:val="24"/>
        </w:rPr>
        <w:t>ta</w:t>
      </w:r>
      <w:r w:rsidR="00580BC1" w:rsidRPr="006279E2">
        <w:rPr>
          <w:rFonts w:ascii="Times New Roman" w:hAnsi="Times New Roman" w:cs="Times New Roman"/>
          <w:sz w:val="24"/>
          <w:szCs w:val="24"/>
        </w:rPr>
        <w:t xml:space="preserve"> jaun</w:t>
      </w:r>
      <w:r w:rsidR="008301CE" w:rsidRPr="006279E2">
        <w:rPr>
          <w:rFonts w:ascii="Times New Roman" w:hAnsi="Times New Roman" w:cs="Times New Roman"/>
          <w:sz w:val="24"/>
          <w:szCs w:val="24"/>
        </w:rPr>
        <w:t>ā</w:t>
      </w:r>
      <w:r w:rsidR="00580BC1" w:rsidRPr="006279E2">
        <w:rPr>
          <w:rFonts w:ascii="Times New Roman" w:hAnsi="Times New Roman" w:cs="Times New Roman"/>
          <w:sz w:val="24"/>
          <w:szCs w:val="24"/>
        </w:rPr>
        <w:t xml:space="preserve"> redakcij</w:t>
      </w:r>
      <w:r w:rsidR="008301CE" w:rsidRPr="006279E2">
        <w:rPr>
          <w:rFonts w:ascii="Times New Roman" w:hAnsi="Times New Roman" w:cs="Times New Roman"/>
          <w:sz w:val="24"/>
          <w:szCs w:val="24"/>
        </w:rPr>
        <w:t>a</w:t>
      </w:r>
      <w:r w:rsidR="00580BC1" w:rsidRPr="006279E2">
        <w:rPr>
          <w:rFonts w:ascii="Times New Roman" w:hAnsi="Times New Roman" w:cs="Times New Roman"/>
          <w:sz w:val="24"/>
          <w:szCs w:val="24"/>
        </w:rPr>
        <w:t xml:space="preserve"> par 2023.gada aktualitātēm līdz </w:t>
      </w:r>
      <w:r w:rsidR="008301CE" w:rsidRPr="006279E2">
        <w:rPr>
          <w:rFonts w:ascii="Times New Roman" w:hAnsi="Times New Roman" w:cs="Times New Roman"/>
          <w:sz w:val="24"/>
          <w:szCs w:val="24"/>
        </w:rPr>
        <w:t xml:space="preserve">2023. gada beigām. </w:t>
      </w:r>
    </w:p>
    <w:p w14:paraId="6509F765" w14:textId="77777777" w:rsidR="008301CE" w:rsidRPr="006279E2" w:rsidRDefault="008301CE" w:rsidP="00225022">
      <w:pPr>
        <w:spacing w:after="0" w:line="240" w:lineRule="auto"/>
        <w:jc w:val="both"/>
        <w:rPr>
          <w:rFonts w:ascii="Times New Roman" w:hAnsi="Times New Roman" w:cs="Times New Roman"/>
          <w:sz w:val="24"/>
          <w:szCs w:val="24"/>
        </w:rPr>
      </w:pPr>
    </w:p>
    <w:p w14:paraId="25736060" w14:textId="175FDE9F" w:rsidR="00580BC1" w:rsidRPr="006279E2" w:rsidRDefault="006544BF" w:rsidP="00225022">
      <w:pPr>
        <w:spacing w:after="0" w:line="240" w:lineRule="auto"/>
        <w:jc w:val="both"/>
        <w:rPr>
          <w:rFonts w:ascii="Times New Roman" w:hAnsi="Times New Roman" w:cs="Times New Roman"/>
          <w:sz w:val="24"/>
          <w:szCs w:val="24"/>
        </w:rPr>
      </w:pPr>
      <w:r w:rsidRPr="00225022">
        <w:rPr>
          <w:rFonts w:ascii="Times New Roman" w:hAnsi="Times New Roman" w:cs="Times New Roman"/>
          <w:sz w:val="24"/>
          <w:szCs w:val="24"/>
          <w:u w:val="single"/>
        </w:rPr>
        <w:lastRenderedPageBreak/>
        <w:t>Enerģētikas jomā</w:t>
      </w:r>
      <w:r w:rsidR="00C91C38" w:rsidRPr="00225022">
        <w:rPr>
          <w:rFonts w:ascii="Times New Roman" w:hAnsi="Times New Roman" w:cs="Times New Roman"/>
          <w:sz w:val="24"/>
          <w:szCs w:val="24"/>
          <w:u w:val="single"/>
        </w:rPr>
        <w:t xml:space="preserve"> plānotie būtiskākie darbi 2023. gad</w:t>
      </w:r>
      <w:r w:rsidR="00225022" w:rsidRPr="00225022">
        <w:rPr>
          <w:rFonts w:ascii="Times New Roman" w:hAnsi="Times New Roman" w:cs="Times New Roman"/>
          <w:sz w:val="24"/>
          <w:szCs w:val="24"/>
          <w:u w:val="single"/>
        </w:rPr>
        <w:t>ā</w:t>
      </w:r>
      <w:r w:rsidR="00225022">
        <w:rPr>
          <w:rFonts w:ascii="Times New Roman" w:hAnsi="Times New Roman" w:cs="Times New Roman"/>
          <w:sz w:val="24"/>
          <w:szCs w:val="24"/>
        </w:rPr>
        <w:t xml:space="preserve"> </w:t>
      </w:r>
      <w:r w:rsidR="008301CE" w:rsidRPr="006279E2">
        <w:rPr>
          <w:rFonts w:ascii="Times New Roman" w:hAnsi="Times New Roman" w:cs="Times New Roman"/>
          <w:sz w:val="24"/>
          <w:szCs w:val="24"/>
        </w:rPr>
        <w:t xml:space="preserve">ietver </w:t>
      </w:r>
      <w:proofErr w:type="spellStart"/>
      <w:r w:rsidR="00D132C8" w:rsidRPr="006279E2">
        <w:rPr>
          <w:rFonts w:ascii="Times New Roman" w:eastAsia="Times New Roman" w:hAnsi="Times New Roman" w:cs="Times New Roman"/>
          <w:color w:val="242424"/>
          <w:sz w:val="24"/>
          <w:szCs w:val="24"/>
          <w:lang w:eastAsia="lv-LV"/>
        </w:rPr>
        <w:t>atkrastes</w:t>
      </w:r>
      <w:proofErr w:type="spellEnd"/>
      <w:r w:rsidR="00D132C8" w:rsidRPr="006279E2">
        <w:rPr>
          <w:rFonts w:ascii="Times New Roman" w:eastAsia="Times New Roman" w:hAnsi="Times New Roman" w:cs="Times New Roman"/>
          <w:color w:val="242424"/>
          <w:sz w:val="24"/>
          <w:szCs w:val="24"/>
          <w:lang w:eastAsia="lv-LV"/>
        </w:rPr>
        <w:t xml:space="preserve"> vēja parku regulējum</w:t>
      </w:r>
      <w:r w:rsidR="008301CE" w:rsidRPr="006279E2">
        <w:rPr>
          <w:rFonts w:ascii="Times New Roman" w:eastAsia="Times New Roman" w:hAnsi="Times New Roman" w:cs="Times New Roman"/>
          <w:color w:val="242424"/>
          <w:sz w:val="24"/>
          <w:szCs w:val="24"/>
          <w:lang w:eastAsia="lv-LV"/>
        </w:rPr>
        <w:t xml:space="preserve">a izstrādi, </w:t>
      </w:r>
      <w:r w:rsidR="00D132C8" w:rsidRPr="006279E2">
        <w:rPr>
          <w:rFonts w:ascii="Times New Roman" w:eastAsia="Times New Roman" w:hAnsi="Times New Roman" w:cs="Times New Roman"/>
          <w:color w:val="242424"/>
          <w:sz w:val="24"/>
          <w:szCs w:val="24"/>
          <w:lang w:eastAsia="lv-LV"/>
        </w:rPr>
        <w:t>dabasgāzes tirgus liberalizācij</w:t>
      </w:r>
      <w:r w:rsidR="008301CE" w:rsidRPr="006279E2">
        <w:rPr>
          <w:rFonts w:ascii="Times New Roman" w:eastAsia="Times New Roman" w:hAnsi="Times New Roman" w:cs="Times New Roman"/>
          <w:color w:val="242424"/>
          <w:sz w:val="24"/>
          <w:szCs w:val="24"/>
          <w:lang w:eastAsia="lv-LV"/>
        </w:rPr>
        <w:t>u</w:t>
      </w:r>
      <w:r w:rsidR="00D132C8" w:rsidRPr="006279E2">
        <w:rPr>
          <w:rFonts w:ascii="Times New Roman" w:eastAsia="Times New Roman" w:hAnsi="Times New Roman" w:cs="Times New Roman"/>
          <w:color w:val="242424"/>
          <w:sz w:val="24"/>
          <w:szCs w:val="24"/>
          <w:lang w:eastAsia="lv-LV"/>
        </w:rPr>
        <w:t xml:space="preserve"> 1.maijā un ar to saistīt</w:t>
      </w:r>
      <w:r w:rsidR="008301CE" w:rsidRPr="006279E2">
        <w:rPr>
          <w:rFonts w:ascii="Times New Roman" w:eastAsia="Times New Roman" w:hAnsi="Times New Roman" w:cs="Times New Roman"/>
          <w:color w:val="242424"/>
          <w:sz w:val="24"/>
          <w:szCs w:val="24"/>
          <w:lang w:eastAsia="lv-LV"/>
        </w:rPr>
        <w:t>ā</w:t>
      </w:r>
      <w:r w:rsidR="00D132C8" w:rsidRPr="006279E2">
        <w:rPr>
          <w:rFonts w:ascii="Times New Roman" w:eastAsia="Times New Roman" w:hAnsi="Times New Roman" w:cs="Times New Roman"/>
          <w:color w:val="242424"/>
          <w:sz w:val="24"/>
          <w:szCs w:val="24"/>
          <w:lang w:eastAsia="lv-LV"/>
        </w:rPr>
        <w:t xml:space="preserve"> regulējum</w:t>
      </w:r>
      <w:r w:rsidR="008301CE" w:rsidRPr="006279E2">
        <w:rPr>
          <w:rFonts w:ascii="Times New Roman" w:eastAsia="Times New Roman" w:hAnsi="Times New Roman" w:cs="Times New Roman"/>
          <w:color w:val="242424"/>
          <w:sz w:val="24"/>
          <w:szCs w:val="24"/>
          <w:lang w:eastAsia="lv-LV"/>
        </w:rPr>
        <w:t xml:space="preserve">a pieņemšanu, kā arī </w:t>
      </w:r>
      <w:r w:rsidR="00D132C8" w:rsidRPr="006279E2">
        <w:rPr>
          <w:rFonts w:ascii="Times New Roman" w:eastAsia="Times New Roman" w:hAnsi="Times New Roman" w:cs="Times New Roman"/>
          <w:color w:val="242424"/>
          <w:sz w:val="24"/>
          <w:szCs w:val="24"/>
          <w:lang w:eastAsia="lv-LV"/>
        </w:rPr>
        <w:t xml:space="preserve">elektroenerģijas </w:t>
      </w:r>
      <w:proofErr w:type="spellStart"/>
      <w:r w:rsidR="00D132C8" w:rsidRPr="006279E2">
        <w:rPr>
          <w:rFonts w:ascii="Times New Roman" w:eastAsia="Times New Roman" w:hAnsi="Times New Roman" w:cs="Times New Roman"/>
          <w:color w:val="242424"/>
          <w:sz w:val="24"/>
          <w:szCs w:val="24"/>
          <w:lang w:eastAsia="lv-LV"/>
        </w:rPr>
        <w:t>energokopienu</w:t>
      </w:r>
      <w:proofErr w:type="spellEnd"/>
      <w:r w:rsidR="00D132C8" w:rsidRPr="006279E2">
        <w:rPr>
          <w:rFonts w:ascii="Times New Roman" w:eastAsia="Times New Roman" w:hAnsi="Times New Roman" w:cs="Times New Roman"/>
          <w:color w:val="242424"/>
          <w:sz w:val="24"/>
          <w:szCs w:val="24"/>
          <w:lang w:eastAsia="lv-LV"/>
        </w:rPr>
        <w:t xml:space="preserve"> un kopīgošanas noteikumu izstrād</w:t>
      </w:r>
      <w:r w:rsidR="008301CE" w:rsidRPr="006279E2">
        <w:rPr>
          <w:rFonts w:ascii="Times New Roman" w:eastAsia="Times New Roman" w:hAnsi="Times New Roman" w:cs="Times New Roman"/>
          <w:color w:val="242424"/>
          <w:sz w:val="24"/>
          <w:szCs w:val="24"/>
          <w:lang w:eastAsia="lv-LV"/>
        </w:rPr>
        <w:t xml:space="preserve">i. </w:t>
      </w:r>
      <w:r w:rsidR="00580BC1" w:rsidRPr="006279E2">
        <w:rPr>
          <w:rFonts w:ascii="Times New Roman" w:hAnsi="Times New Roman" w:cs="Times New Roman"/>
          <w:sz w:val="24"/>
          <w:szCs w:val="24"/>
        </w:rPr>
        <w:t>Ievie</w:t>
      </w:r>
      <w:r w:rsidR="008301CE" w:rsidRPr="006279E2">
        <w:rPr>
          <w:rFonts w:ascii="Times New Roman" w:hAnsi="Times New Roman" w:cs="Times New Roman"/>
          <w:sz w:val="24"/>
          <w:szCs w:val="24"/>
        </w:rPr>
        <w:t>šot</w:t>
      </w:r>
      <w:r w:rsidR="00580BC1" w:rsidRPr="006279E2">
        <w:rPr>
          <w:rFonts w:ascii="Times New Roman" w:hAnsi="Times New Roman" w:cs="Times New Roman"/>
          <w:sz w:val="24"/>
          <w:szCs w:val="24"/>
        </w:rPr>
        <w:t xml:space="preserve"> neto norēķinu sistēmu elektroenerģijas gala lietotājiem, </w:t>
      </w:r>
      <w:r w:rsidR="008301CE" w:rsidRPr="006279E2">
        <w:rPr>
          <w:rFonts w:ascii="Times New Roman" w:hAnsi="Times New Roman" w:cs="Times New Roman"/>
          <w:sz w:val="24"/>
          <w:szCs w:val="24"/>
        </w:rPr>
        <w:t>tiks</w:t>
      </w:r>
      <w:r w:rsidR="00580BC1" w:rsidRPr="006279E2">
        <w:rPr>
          <w:rFonts w:ascii="Times New Roman" w:hAnsi="Times New Roman" w:cs="Times New Roman"/>
          <w:sz w:val="24"/>
          <w:szCs w:val="24"/>
        </w:rPr>
        <w:t xml:space="preserve"> nodrošināt</w:t>
      </w:r>
      <w:r w:rsidR="008301CE" w:rsidRPr="006279E2">
        <w:rPr>
          <w:rFonts w:ascii="Times New Roman" w:hAnsi="Times New Roman" w:cs="Times New Roman"/>
          <w:sz w:val="24"/>
          <w:szCs w:val="24"/>
        </w:rPr>
        <w:t>a</w:t>
      </w:r>
      <w:r w:rsidR="00580BC1" w:rsidRPr="006279E2">
        <w:rPr>
          <w:rFonts w:ascii="Times New Roman" w:hAnsi="Times New Roman" w:cs="Times New Roman"/>
          <w:sz w:val="24"/>
          <w:szCs w:val="24"/>
        </w:rPr>
        <w:t xml:space="preserve"> attālinātā pašpatēriņa regulējum</w:t>
      </w:r>
      <w:r w:rsidR="008301CE" w:rsidRPr="006279E2">
        <w:rPr>
          <w:rFonts w:ascii="Times New Roman" w:hAnsi="Times New Roman" w:cs="Times New Roman"/>
          <w:sz w:val="24"/>
          <w:szCs w:val="24"/>
        </w:rPr>
        <w:t>s</w:t>
      </w:r>
      <w:r w:rsidR="00580BC1" w:rsidRPr="006279E2">
        <w:rPr>
          <w:rFonts w:ascii="Times New Roman" w:hAnsi="Times New Roman" w:cs="Times New Roman"/>
          <w:sz w:val="24"/>
          <w:szCs w:val="24"/>
        </w:rPr>
        <w:t xml:space="preserve"> gan mājsaimniecībām, gan juridiskajām personām.</w:t>
      </w:r>
      <w:r w:rsidR="008301CE" w:rsidRPr="006279E2">
        <w:rPr>
          <w:rFonts w:ascii="Times New Roman" w:hAnsi="Times New Roman" w:cs="Times New Roman"/>
          <w:sz w:val="24"/>
          <w:szCs w:val="24"/>
        </w:rPr>
        <w:t xml:space="preserve"> </w:t>
      </w:r>
    </w:p>
    <w:p w14:paraId="5645136C" w14:textId="02B72757" w:rsidR="00580BC1" w:rsidRDefault="008301CE" w:rsidP="00225022">
      <w:pPr>
        <w:spacing w:after="0" w:line="240" w:lineRule="auto"/>
        <w:jc w:val="both"/>
        <w:rPr>
          <w:rFonts w:ascii="Times New Roman" w:hAnsi="Times New Roman" w:cs="Times New Roman"/>
          <w:sz w:val="24"/>
          <w:szCs w:val="24"/>
        </w:rPr>
      </w:pPr>
      <w:r w:rsidRPr="006279E2">
        <w:rPr>
          <w:rFonts w:ascii="Times New Roman" w:hAnsi="Times New Roman" w:cs="Times New Roman"/>
          <w:sz w:val="24"/>
          <w:szCs w:val="24"/>
        </w:rPr>
        <w:t>Plānots ieviest arī regulējumu atjaunojamo energoresursu (AER) i</w:t>
      </w:r>
      <w:r w:rsidR="00580BC1" w:rsidRPr="006279E2">
        <w:rPr>
          <w:rFonts w:ascii="Times New Roman" w:hAnsi="Times New Roman" w:cs="Times New Roman"/>
          <w:sz w:val="24"/>
          <w:szCs w:val="24"/>
        </w:rPr>
        <w:t>ekārtu izvešanas no ekspluatācijas, kas paredzēs ieviest AER uzstādīto jaudu nojaukšanas pēc nolietošanas finansējuma modeļa ieviešanu.</w:t>
      </w:r>
    </w:p>
    <w:p w14:paraId="476CE5FC" w14:textId="37BFC2ED" w:rsidR="00ED4A51" w:rsidRDefault="00ED4A51" w:rsidP="00225022">
      <w:pPr>
        <w:spacing w:after="0" w:line="240" w:lineRule="auto"/>
        <w:jc w:val="both"/>
        <w:rPr>
          <w:rFonts w:ascii="Times New Roman" w:hAnsi="Times New Roman" w:cs="Times New Roman"/>
          <w:sz w:val="24"/>
          <w:szCs w:val="24"/>
        </w:rPr>
      </w:pPr>
    </w:p>
    <w:p w14:paraId="5E6E43A6" w14:textId="77777777" w:rsidR="00ED4A51" w:rsidRDefault="00ED4A51" w:rsidP="00225022">
      <w:pPr>
        <w:spacing w:after="0" w:line="240" w:lineRule="auto"/>
        <w:jc w:val="both"/>
        <w:rPr>
          <w:rFonts w:ascii="Times New Roman" w:hAnsi="Times New Roman" w:cs="Times New Roman"/>
          <w:sz w:val="24"/>
          <w:szCs w:val="24"/>
        </w:rPr>
      </w:pPr>
    </w:p>
    <w:p w14:paraId="52A5C86D" w14:textId="1B2B126B" w:rsidR="00ED4A51" w:rsidRDefault="00ED4A51" w:rsidP="00225022">
      <w:pPr>
        <w:spacing w:after="0" w:line="240" w:lineRule="auto"/>
        <w:jc w:val="both"/>
        <w:rPr>
          <w:rFonts w:ascii="Times New Roman" w:hAnsi="Times New Roman" w:cs="Times New Roman"/>
          <w:sz w:val="24"/>
          <w:szCs w:val="24"/>
        </w:rPr>
      </w:pPr>
      <w:bookmarkStart w:id="0" w:name="_Hlk123804330"/>
      <w:r>
        <w:rPr>
          <w:rFonts w:ascii="Times New Roman" w:hAnsi="Times New Roman" w:cs="Times New Roman"/>
          <w:sz w:val="24"/>
          <w:szCs w:val="24"/>
        </w:rPr>
        <w:t>Informāciju apkopoja</w:t>
      </w:r>
    </w:p>
    <w:p w14:paraId="63492334" w14:textId="179878FA" w:rsidR="00ED4A51" w:rsidRDefault="00ED4A51" w:rsidP="00225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Ekonomikas ministrijas</w:t>
      </w:r>
    </w:p>
    <w:p w14:paraId="4F65DA46" w14:textId="6FEA825D" w:rsidR="00ED4A51" w:rsidRDefault="00ED4A51" w:rsidP="00225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Sabiedrisko attiecību nodaļa</w:t>
      </w:r>
    </w:p>
    <w:p w14:paraId="12981E14" w14:textId="236AECCC" w:rsidR="00ED4A51" w:rsidRDefault="00ED4A51" w:rsidP="00225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Tālrunis: 67013193</w:t>
      </w:r>
    </w:p>
    <w:p w14:paraId="580B149E" w14:textId="79C1CEE5" w:rsidR="00ED4A51" w:rsidRPr="006279E2" w:rsidRDefault="00ED4A51" w:rsidP="002250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E-pasts: prese@em.gov.lv</w:t>
      </w:r>
    </w:p>
    <w:bookmarkEnd w:id="0"/>
    <w:p w14:paraId="0A65A03C" w14:textId="77777777" w:rsidR="00D132C8" w:rsidRPr="006279E2" w:rsidRDefault="00D132C8" w:rsidP="00225022">
      <w:pPr>
        <w:spacing w:after="0" w:line="240" w:lineRule="auto"/>
        <w:jc w:val="both"/>
        <w:rPr>
          <w:rFonts w:ascii="Times New Roman" w:hAnsi="Times New Roman" w:cs="Times New Roman"/>
          <w:sz w:val="24"/>
          <w:szCs w:val="24"/>
        </w:rPr>
      </w:pPr>
    </w:p>
    <w:p w14:paraId="77C0DC82" w14:textId="77777777" w:rsidR="005C2974" w:rsidRPr="006279E2" w:rsidRDefault="005C2974" w:rsidP="00225022">
      <w:pPr>
        <w:spacing w:after="0" w:line="240" w:lineRule="auto"/>
        <w:jc w:val="both"/>
        <w:rPr>
          <w:rFonts w:ascii="Times New Roman" w:hAnsi="Times New Roman" w:cs="Times New Roman"/>
          <w:sz w:val="24"/>
          <w:szCs w:val="24"/>
        </w:rPr>
      </w:pPr>
    </w:p>
    <w:sectPr w:rsidR="005C2974" w:rsidRPr="006279E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EF40" w14:textId="77777777" w:rsidR="004C7F02" w:rsidRDefault="004C7F02" w:rsidP="004C7F02">
      <w:pPr>
        <w:spacing w:after="0" w:line="240" w:lineRule="auto"/>
      </w:pPr>
      <w:r>
        <w:separator/>
      </w:r>
    </w:p>
  </w:endnote>
  <w:endnote w:type="continuationSeparator" w:id="0">
    <w:p w14:paraId="70A6171F" w14:textId="77777777" w:rsidR="004C7F02" w:rsidRDefault="004C7F02" w:rsidP="004C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62088"/>
      <w:docPartObj>
        <w:docPartGallery w:val="Page Numbers (Bottom of Page)"/>
        <w:docPartUnique/>
      </w:docPartObj>
    </w:sdtPr>
    <w:sdtEndPr>
      <w:rPr>
        <w:noProof/>
      </w:rPr>
    </w:sdtEndPr>
    <w:sdtContent>
      <w:p w14:paraId="060D5DE4" w14:textId="720643D3" w:rsidR="00225022" w:rsidRDefault="002250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300A0" w14:textId="77777777" w:rsidR="00225022" w:rsidRDefault="0022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966F" w14:textId="77777777" w:rsidR="004C7F02" w:rsidRDefault="004C7F02" w:rsidP="004C7F02">
      <w:pPr>
        <w:spacing w:after="0" w:line="240" w:lineRule="auto"/>
      </w:pPr>
      <w:r>
        <w:separator/>
      </w:r>
    </w:p>
  </w:footnote>
  <w:footnote w:type="continuationSeparator" w:id="0">
    <w:p w14:paraId="36F08432" w14:textId="77777777" w:rsidR="004C7F02" w:rsidRDefault="004C7F02" w:rsidP="004C7F02">
      <w:pPr>
        <w:spacing w:after="0" w:line="240" w:lineRule="auto"/>
      </w:pPr>
      <w:r>
        <w:continuationSeparator/>
      </w:r>
    </w:p>
  </w:footnote>
  <w:footnote w:id="1">
    <w:p w14:paraId="0DA6FDBC" w14:textId="77777777" w:rsidR="00A328E9" w:rsidRPr="00E4600E" w:rsidRDefault="00A328E9" w:rsidP="00A328E9">
      <w:pPr>
        <w:pStyle w:val="FootnoteText"/>
        <w:rPr>
          <w:rFonts w:ascii="Times New Roman" w:hAnsi="Times New Roman" w:cs="Times New Roman"/>
        </w:rPr>
      </w:pPr>
      <w:r w:rsidRPr="00E4600E">
        <w:rPr>
          <w:rStyle w:val="FootnoteReference"/>
          <w:rFonts w:ascii="Times New Roman" w:hAnsi="Times New Roman" w:cs="Times New Roman"/>
        </w:rPr>
        <w:footnoteRef/>
      </w:r>
      <w:r w:rsidRPr="00E4600E">
        <w:rPr>
          <w:rFonts w:ascii="Times New Roman" w:hAnsi="Times New Roman" w:cs="Times New Roman"/>
        </w:rPr>
        <w:t xml:space="preserve"> </w:t>
      </w:r>
      <w:hyperlink r:id="rId1" w:history="1">
        <w:r w:rsidRPr="00E4600E">
          <w:rPr>
            <w:rStyle w:val="Hyperlink"/>
            <w:rFonts w:ascii="Times New Roman" w:hAnsi="Times New Roman" w:cs="Times New Roman"/>
          </w:rPr>
          <w:t>https://eur-lex.europa.eu/legal-content/LV/TXT/?uri=COM%3A2022%3A459%3AFIN&amp;qid=1663585208263</w:t>
        </w:r>
      </w:hyperlink>
      <w:r w:rsidRPr="00E4600E">
        <w:rPr>
          <w:rFonts w:ascii="Times New Roman" w:hAnsi="Times New Roman" w:cs="Times New Roman"/>
        </w:rPr>
        <w:t xml:space="preserve"> </w:t>
      </w:r>
    </w:p>
  </w:footnote>
  <w:footnote w:id="2">
    <w:p w14:paraId="138669CF" w14:textId="77777777" w:rsidR="004C7F02" w:rsidRPr="00E4600E" w:rsidRDefault="004C7F02" w:rsidP="004C7F02">
      <w:pPr>
        <w:pStyle w:val="FootnoteText"/>
        <w:rPr>
          <w:rFonts w:ascii="Times New Roman" w:hAnsi="Times New Roman" w:cs="Times New Roman"/>
        </w:rPr>
      </w:pPr>
      <w:r w:rsidRPr="00E4600E">
        <w:rPr>
          <w:rStyle w:val="FootnoteReference"/>
          <w:rFonts w:ascii="Times New Roman" w:hAnsi="Times New Roman" w:cs="Times New Roman"/>
        </w:rPr>
        <w:footnoteRef/>
      </w:r>
      <w:r w:rsidRPr="00E4600E">
        <w:rPr>
          <w:rFonts w:ascii="Times New Roman" w:hAnsi="Times New Roman" w:cs="Times New Roman"/>
        </w:rPr>
        <w:t xml:space="preserve"> </w:t>
      </w:r>
      <w:hyperlink r:id="rId2" w:history="1">
        <w:r w:rsidRPr="00E4600E">
          <w:rPr>
            <w:rStyle w:val="Hyperlink"/>
            <w:rFonts w:ascii="Times New Roman" w:hAnsi="Times New Roman" w:cs="Times New Roman"/>
          </w:rPr>
          <w:t>https://eur-lex.europa.eu/legal-content/LV/TXT/?qid=1649112555090&amp;uri=CELEX%3A52022DC0140</w:t>
        </w:r>
      </w:hyperlink>
      <w:r w:rsidRPr="00E4600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B93"/>
    <w:multiLevelType w:val="hybridMultilevel"/>
    <w:tmpl w:val="B7E67E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E6B2AD5"/>
    <w:multiLevelType w:val="hybridMultilevel"/>
    <w:tmpl w:val="93EEB2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8A036DE"/>
    <w:multiLevelType w:val="multilevel"/>
    <w:tmpl w:val="1AE4D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A84FE2"/>
    <w:multiLevelType w:val="multilevel"/>
    <w:tmpl w:val="D3F28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6E6667"/>
    <w:multiLevelType w:val="multilevel"/>
    <w:tmpl w:val="020AA8C6"/>
    <w:lvl w:ilvl="0">
      <w:start w:val="1"/>
      <w:numFmt w:val="decimal"/>
      <w:lvlText w:val="%1."/>
      <w:lvlJc w:val="left"/>
      <w:pPr>
        <w:ind w:left="360" w:hanging="360"/>
      </w:pPr>
      <w:rPr>
        <w:rFonts w:hint="default"/>
      </w:rPr>
    </w:lvl>
    <w:lvl w:ilvl="1">
      <w:start w:val="1"/>
      <w:numFmt w:val="bullet"/>
      <w:lvlText w:val=""/>
      <w:lvlJc w:val="left"/>
      <w:pPr>
        <w:ind w:left="568" w:hanging="360"/>
      </w:pPr>
      <w:rPr>
        <w:rFonts w:ascii="Symbol" w:hAnsi="Symbol" w:hint="default"/>
        <w:b w:val="0"/>
        <w:bCs w:val="0"/>
      </w:rPr>
    </w:lvl>
    <w:lvl w:ilvl="2">
      <w:start w:val="1"/>
      <w:numFmt w:val="bullet"/>
      <w:lvlText w:val="o"/>
      <w:lvlJc w:val="left"/>
      <w:pPr>
        <w:ind w:left="1440" w:hanging="720"/>
      </w:pPr>
      <w:rPr>
        <w:rFonts w:ascii="Courier New" w:hAnsi="Courier New" w:cs="Courier New"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6395185D"/>
    <w:multiLevelType w:val="hybridMultilevel"/>
    <w:tmpl w:val="3C0E75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F7"/>
    <w:rsid w:val="000F693C"/>
    <w:rsid w:val="00225022"/>
    <w:rsid w:val="00397442"/>
    <w:rsid w:val="004C7F02"/>
    <w:rsid w:val="00580BC1"/>
    <w:rsid w:val="005C2974"/>
    <w:rsid w:val="00614819"/>
    <w:rsid w:val="006279E2"/>
    <w:rsid w:val="00640124"/>
    <w:rsid w:val="006544BF"/>
    <w:rsid w:val="006824B2"/>
    <w:rsid w:val="00715CD1"/>
    <w:rsid w:val="007955F7"/>
    <w:rsid w:val="00812C33"/>
    <w:rsid w:val="008301CE"/>
    <w:rsid w:val="008C5028"/>
    <w:rsid w:val="00A328E9"/>
    <w:rsid w:val="00A86827"/>
    <w:rsid w:val="00BC2557"/>
    <w:rsid w:val="00C47A29"/>
    <w:rsid w:val="00C554D2"/>
    <w:rsid w:val="00C577BD"/>
    <w:rsid w:val="00C91C38"/>
    <w:rsid w:val="00CA617B"/>
    <w:rsid w:val="00D132C8"/>
    <w:rsid w:val="00D979E7"/>
    <w:rsid w:val="00DD430C"/>
    <w:rsid w:val="00ED4A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8712"/>
  <w15:chartTrackingRefBased/>
  <w15:docId w15:val="{0884CBC5-FB7E-41ED-8BEB-259117B1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F02"/>
    <w:pPr>
      <w:spacing w:line="252"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4C7F02"/>
    <w:rPr>
      <w:color w:val="0563C1"/>
      <w:u w:val="single"/>
    </w:rPr>
  </w:style>
  <w:style w:type="paragraph" w:styleId="FootnoteText">
    <w:name w:val="footnote text"/>
    <w:basedOn w:val="Normal"/>
    <w:link w:val="FootnoteTextChar"/>
    <w:uiPriority w:val="99"/>
    <w:semiHidden/>
    <w:unhideWhenUsed/>
    <w:rsid w:val="004C7F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F02"/>
    <w:rPr>
      <w:sz w:val="20"/>
      <w:szCs w:val="20"/>
    </w:rPr>
  </w:style>
  <w:style w:type="character" w:styleId="FootnoteReference">
    <w:name w:val="footnote reference"/>
    <w:basedOn w:val="DefaultParagraphFont"/>
    <w:uiPriority w:val="99"/>
    <w:semiHidden/>
    <w:unhideWhenUsed/>
    <w:rsid w:val="004C7F02"/>
    <w:rPr>
      <w:spacing w:val="0"/>
      <w:vertAlign w:val="superscript"/>
    </w:rPr>
  </w:style>
  <w:style w:type="paragraph" w:styleId="Header">
    <w:name w:val="header"/>
    <w:basedOn w:val="Normal"/>
    <w:link w:val="HeaderChar"/>
    <w:uiPriority w:val="99"/>
    <w:unhideWhenUsed/>
    <w:rsid w:val="002250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5022"/>
  </w:style>
  <w:style w:type="paragraph" w:styleId="Footer">
    <w:name w:val="footer"/>
    <w:basedOn w:val="Normal"/>
    <w:link w:val="FooterChar"/>
    <w:uiPriority w:val="99"/>
    <w:unhideWhenUsed/>
    <w:rsid w:val="002250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5003">
      <w:bodyDiv w:val="1"/>
      <w:marLeft w:val="0"/>
      <w:marRight w:val="0"/>
      <w:marTop w:val="0"/>
      <w:marBottom w:val="0"/>
      <w:divBdr>
        <w:top w:val="none" w:sz="0" w:space="0" w:color="auto"/>
        <w:left w:val="none" w:sz="0" w:space="0" w:color="auto"/>
        <w:bottom w:val="none" w:sz="0" w:space="0" w:color="auto"/>
        <w:right w:val="none" w:sz="0" w:space="0" w:color="auto"/>
      </w:divBdr>
    </w:div>
    <w:div w:id="644773484">
      <w:bodyDiv w:val="1"/>
      <w:marLeft w:val="0"/>
      <w:marRight w:val="0"/>
      <w:marTop w:val="0"/>
      <w:marBottom w:val="0"/>
      <w:divBdr>
        <w:top w:val="none" w:sz="0" w:space="0" w:color="auto"/>
        <w:left w:val="none" w:sz="0" w:space="0" w:color="auto"/>
        <w:bottom w:val="none" w:sz="0" w:space="0" w:color="auto"/>
        <w:right w:val="none" w:sz="0" w:space="0" w:color="auto"/>
      </w:divBdr>
    </w:div>
    <w:div w:id="857161057">
      <w:bodyDiv w:val="1"/>
      <w:marLeft w:val="0"/>
      <w:marRight w:val="0"/>
      <w:marTop w:val="0"/>
      <w:marBottom w:val="0"/>
      <w:divBdr>
        <w:top w:val="none" w:sz="0" w:space="0" w:color="auto"/>
        <w:left w:val="none" w:sz="0" w:space="0" w:color="auto"/>
        <w:bottom w:val="none" w:sz="0" w:space="0" w:color="auto"/>
        <w:right w:val="none" w:sz="0" w:space="0" w:color="auto"/>
      </w:divBdr>
    </w:div>
    <w:div w:id="877930634">
      <w:bodyDiv w:val="1"/>
      <w:marLeft w:val="0"/>
      <w:marRight w:val="0"/>
      <w:marTop w:val="0"/>
      <w:marBottom w:val="0"/>
      <w:divBdr>
        <w:top w:val="none" w:sz="0" w:space="0" w:color="auto"/>
        <w:left w:val="none" w:sz="0" w:space="0" w:color="auto"/>
        <w:bottom w:val="none" w:sz="0" w:space="0" w:color="auto"/>
        <w:right w:val="none" w:sz="0" w:space="0" w:color="auto"/>
      </w:divBdr>
    </w:div>
    <w:div w:id="1456825669">
      <w:bodyDiv w:val="1"/>
      <w:marLeft w:val="0"/>
      <w:marRight w:val="0"/>
      <w:marTop w:val="0"/>
      <w:marBottom w:val="0"/>
      <w:divBdr>
        <w:top w:val="none" w:sz="0" w:space="0" w:color="auto"/>
        <w:left w:val="none" w:sz="0" w:space="0" w:color="auto"/>
        <w:bottom w:val="none" w:sz="0" w:space="0" w:color="auto"/>
        <w:right w:val="none" w:sz="0" w:space="0" w:color="auto"/>
      </w:divBdr>
    </w:div>
    <w:div w:id="1584026897">
      <w:bodyDiv w:val="1"/>
      <w:marLeft w:val="0"/>
      <w:marRight w:val="0"/>
      <w:marTop w:val="0"/>
      <w:marBottom w:val="0"/>
      <w:divBdr>
        <w:top w:val="none" w:sz="0" w:space="0" w:color="auto"/>
        <w:left w:val="none" w:sz="0" w:space="0" w:color="auto"/>
        <w:bottom w:val="none" w:sz="0" w:space="0" w:color="auto"/>
        <w:right w:val="none" w:sz="0" w:space="0" w:color="auto"/>
      </w:divBdr>
    </w:div>
    <w:div w:id="2027634289">
      <w:bodyDiv w:val="1"/>
      <w:marLeft w:val="0"/>
      <w:marRight w:val="0"/>
      <w:marTop w:val="0"/>
      <w:marBottom w:val="0"/>
      <w:divBdr>
        <w:top w:val="none" w:sz="0" w:space="0" w:color="auto"/>
        <w:left w:val="none" w:sz="0" w:space="0" w:color="auto"/>
        <w:bottom w:val="none" w:sz="0" w:space="0" w:color="auto"/>
        <w:right w:val="none" w:sz="0" w:space="0" w:color="auto"/>
      </w:divBdr>
    </w:div>
    <w:div w:id="20880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qid=1649112555090&amp;uri=CELEX%3A52022DC0140" TargetMode="External"/><Relationship Id="rId1" Type="http://schemas.openxmlformats.org/officeDocument/2006/relationships/hyperlink" Target="https://eur-lex.europa.eu/legal-content/LV/TXT/?uri=COM%3A2022%3A459%3AFIN&amp;qid=1663585208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1328</TotalTime>
  <Pages>4</Pages>
  <Words>6350</Words>
  <Characters>3620</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Rubesa-Voravko</dc:creator>
  <cp:keywords/>
  <dc:description/>
  <cp:lastModifiedBy>Evita Urpena</cp:lastModifiedBy>
  <cp:revision>9</cp:revision>
  <dcterms:created xsi:type="dcterms:W3CDTF">2022-12-28T07:05:00Z</dcterms:created>
  <dcterms:modified xsi:type="dcterms:W3CDTF">2023-01-05T11:43:00Z</dcterms:modified>
</cp:coreProperties>
</file>