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6FFEF" w14:textId="77777777" w:rsidR="00F9122D" w:rsidRDefault="00F9122D" w:rsidP="00F9122D">
      <w:pPr>
        <w:jc w:val="center"/>
        <w:rPr>
          <w:rFonts w:ascii="Times New Roman" w:hAnsi="Times New Roman"/>
          <w:b/>
          <w:sz w:val="28"/>
          <w:szCs w:val="28"/>
        </w:rPr>
      </w:pPr>
      <w:bookmarkStart w:id="0" w:name="_Hlk15460888"/>
      <w:bookmarkEnd w:id="0"/>
    </w:p>
    <w:p w14:paraId="00B2EB3B" w14:textId="77777777" w:rsidR="00F9122D" w:rsidRDefault="00F9122D" w:rsidP="00F9122D">
      <w:pPr>
        <w:jc w:val="center"/>
        <w:rPr>
          <w:rFonts w:ascii="Times New Roman" w:hAnsi="Times New Roman"/>
          <w:b/>
          <w:sz w:val="28"/>
          <w:szCs w:val="28"/>
        </w:rPr>
      </w:pPr>
    </w:p>
    <w:p w14:paraId="1DFB054E" w14:textId="6AF6F226" w:rsidR="0073664F" w:rsidRPr="00220277" w:rsidRDefault="0095733A" w:rsidP="00F9122D">
      <w:pPr>
        <w:jc w:val="center"/>
        <w:rPr>
          <w:rFonts w:ascii="Times New Roman" w:hAnsi="Times New Roman"/>
          <w:b/>
          <w:sz w:val="36"/>
          <w:szCs w:val="36"/>
        </w:rPr>
      </w:pPr>
      <w:r w:rsidRPr="00220277">
        <w:rPr>
          <w:rFonts w:ascii="Times New Roman" w:hAnsi="Times New Roman"/>
          <w:b/>
          <w:sz w:val="36"/>
          <w:szCs w:val="36"/>
        </w:rPr>
        <w:t>Informatīvais ziņojums</w:t>
      </w:r>
    </w:p>
    <w:p w14:paraId="1EB49318" w14:textId="77777777" w:rsidR="00F9122D" w:rsidRPr="0043103F" w:rsidRDefault="00F9122D" w:rsidP="00F9122D">
      <w:pPr>
        <w:jc w:val="center"/>
        <w:rPr>
          <w:rFonts w:ascii="Times New Roman" w:hAnsi="Times New Roman"/>
          <w:b/>
          <w:sz w:val="28"/>
          <w:szCs w:val="28"/>
        </w:rPr>
      </w:pPr>
    </w:p>
    <w:p w14:paraId="2419AF87" w14:textId="13A2F6C4" w:rsidR="0073664F" w:rsidRPr="00220277" w:rsidRDefault="0043103F" w:rsidP="00F9122D">
      <w:pPr>
        <w:spacing w:line="240" w:lineRule="auto"/>
        <w:jc w:val="center"/>
        <w:rPr>
          <w:rFonts w:ascii="Times New Roman" w:hAnsi="Times New Roman"/>
          <w:b/>
          <w:color w:val="1F4E79" w:themeColor="accent5" w:themeShade="80"/>
          <w:sz w:val="36"/>
          <w:szCs w:val="36"/>
          <w:shd w:val="clear" w:color="auto" w:fill="FFFFFF"/>
        </w:rPr>
      </w:pPr>
      <w:r w:rsidRPr="00220277">
        <w:rPr>
          <w:rFonts w:ascii="Times New Roman" w:hAnsi="Times New Roman"/>
          <w:b/>
          <w:color w:val="1F4E79" w:themeColor="accent5" w:themeShade="80"/>
          <w:sz w:val="36"/>
          <w:szCs w:val="36"/>
        </w:rPr>
        <w:t>P</w:t>
      </w:r>
      <w:r w:rsidR="0073664F" w:rsidRPr="00220277">
        <w:rPr>
          <w:rFonts w:ascii="Times New Roman" w:hAnsi="Times New Roman"/>
          <w:b/>
          <w:color w:val="1F4E79" w:themeColor="accent5" w:themeShade="80"/>
          <w:sz w:val="36"/>
          <w:szCs w:val="36"/>
        </w:rPr>
        <w:t>ar prognozētām izmaiņām darba spēka un būvmateriālu izmaksās būvniecības nozarē</w:t>
      </w:r>
      <w:r w:rsidR="0073664F" w:rsidRPr="00220277">
        <w:rPr>
          <w:rFonts w:ascii="Times New Roman" w:hAnsi="Times New Roman"/>
          <w:b/>
          <w:color w:val="1F4E79" w:themeColor="accent5" w:themeShade="80"/>
          <w:sz w:val="36"/>
          <w:szCs w:val="36"/>
          <w:shd w:val="clear" w:color="auto" w:fill="FFFFFF"/>
        </w:rPr>
        <w:t xml:space="preserve"> un to ietekmi uz tautsaimniecību.</w:t>
      </w:r>
    </w:p>
    <w:p w14:paraId="1769DD74" w14:textId="77777777" w:rsidR="00F9122D" w:rsidRDefault="00F9122D" w:rsidP="00B75742">
      <w:pPr>
        <w:ind w:firstLine="720"/>
        <w:jc w:val="both"/>
        <w:rPr>
          <w:rFonts w:ascii="Times New Roman" w:hAnsi="Times New Roman"/>
          <w:color w:val="2A2A2A"/>
          <w:sz w:val="28"/>
          <w:szCs w:val="28"/>
          <w:shd w:val="clear" w:color="auto" w:fill="FFFFFF"/>
        </w:rPr>
      </w:pPr>
    </w:p>
    <w:p w14:paraId="4EEFC7A5" w14:textId="7D6CCA32" w:rsidR="00F52455" w:rsidRDefault="00B75742" w:rsidP="000830E6">
      <w:pPr>
        <w:spacing w:after="0"/>
        <w:ind w:firstLine="720"/>
        <w:jc w:val="both"/>
        <w:rPr>
          <w:rFonts w:ascii="Times New Roman" w:hAnsi="Times New Roman"/>
          <w:color w:val="2A2A2A"/>
          <w:sz w:val="28"/>
          <w:szCs w:val="28"/>
          <w:shd w:val="clear" w:color="auto" w:fill="FFFFFF"/>
        </w:rPr>
      </w:pPr>
      <w:r w:rsidRPr="00B75742">
        <w:rPr>
          <w:rFonts w:ascii="Times New Roman" w:hAnsi="Times New Roman"/>
          <w:color w:val="2A2A2A"/>
          <w:sz w:val="28"/>
          <w:szCs w:val="28"/>
          <w:shd w:val="clear" w:color="auto" w:fill="FFFFFF"/>
        </w:rPr>
        <w:t>Ekonomikas ministrija, lai nodrošinātu "Deklarācijas par Artura Krišjāņa Kariņa vadītā Ministru kabineta iecerēto darbību" 26.uzdevuma efektīvu izpildi, ir v</w:t>
      </w:r>
      <w:r w:rsidRPr="00B75742">
        <w:rPr>
          <w:rFonts w:ascii="Times New Roman" w:hAnsi="Times New Roman"/>
          <w:sz w:val="28"/>
          <w:szCs w:val="28"/>
        </w:rPr>
        <w:t>eikusi pētījumu par prognozētām izmaiņām darba spēka un būvmateriālu izmaksās būvniecības nozarē</w:t>
      </w:r>
      <w:r w:rsidR="00634CD6">
        <w:rPr>
          <w:rFonts w:ascii="Times New Roman" w:hAnsi="Times New Roman"/>
          <w:sz w:val="28"/>
          <w:szCs w:val="28"/>
        </w:rPr>
        <w:t xml:space="preserve"> </w:t>
      </w:r>
      <w:r w:rsidRPr="00B75742">
        <w:rPr>
          <w:rFonts w:ascii="Times New Roman" w:hAnsi="Times New Roman"/>
          <w:sz w:val="28"/>
          <w:szCs w:val="28"/>
        </w:rPr>
        <w:t xml:space="preserve">un atbilstoši </w:t>
      </w:r>
      <w:r w:rsidRPr="00B75742">
        <w:rPr>
          <w:rFonts w:ascii="Times New Roman" w:hAnsi="Times New Roman"/>
          <w:color w:val="2A2A2A"/>
          <w:sz w:val="28"/>
          <w:szCs w:val="28"/>
          <w:shd w:val="clear" w:color="auto" w:fill="FFFFFF"/>
        </w:rPr>
        <w:t>Ministru kabineta 2019.gada 23.aprīļa sēdē (protokols Nr.21,</w:t>
      </w:r>
      <w:r w:rsidRPr="00B75742">
        <w:rPr>
          <w:rFonts w:ascii="Times New Roman" w:eastAsia="Times New Roman" w:hAnsi="Times New Roman"/>
          <w:sz w:val="28"/>
          <w:szCs w:val="28"/>
          <w:lang w:eastAsia="lv-LV"/>
        </w:rPr>
        <w:t xml:space="preserve"> 23.§, 3.punkts) dotajam uzdevumam, iesniedz </w:t>
      </w:r>
      <w:r w:rsidRPr="00B75742">
        <w:rPr>
          <w:rFonts w:ascii="Times New Roman" w:hAnsi="Times New Roman"/>
          <w:color w:val="2A2A2A"/>
          <w:sz w:val="28"/>
          <w:szCs w:val="28"/>
          <w:shd w:val="clear" w:color="auto" w:fill="FFFFFF"/>
        </w:rPr>
        <w:t xml:space="preserve">Ministru kabinetam </w:t>
      </w:r>
      <w:r w:rsidRPr="00B75742">
        <w:rPr>
          <w:rFonts w:ascii="Times New Roman" w:eastAsia="Times New Roman" w:hAnsi="Times New Roman"/>
          <w:sz w:val="28"/>
          <w:szCs w:val="28"/>
          <w:lang w:eastAsia="lv-LV"/>
        </w:rPr>
        <w:t xml:space="preserve">informāciju </w:t>
      </w:r>
      <w:r w:rsidRPr="00B75742">
        <w:rPr>
          <w:rFonts w:ascii="Times New Roman" w:hAnsi="Times New Roman"/>
          <w:color w:val="2A2A2A"/>
          <w:sz w:val="28"/>
          <w:szCs w:val="28"/>
          <w:shd w:val="clear" w:color="auto" w:fill="FFFFFF"/>
        </w:rPr>
        <w:t>par izvērtējuma rezultātiem, un prognozēto ietekmi uz tautsaimniecību.</w:t>
      </w:r>
      <w:r w:rsidR="00634CD6">
        <w:rPr>
          <w:rFonts w:ascii="Times New Roman" w:hAnsi="Times New Roman"/>
          <w:color w:val="2A2A2A"/>
          <w:sz w:val="28"/>
          <w:szCs w:val="28"/>
          <w:shd w:val="clear" w:color="auto" w:fill="FFFFFF"/>
        </w:rPr>
        <w:t xml:space="preserve"> </w:t>
      </w:r>
    </w:p>
    <w:p w14:paraId="5E8D7C1A" w14:textId="5E5F0C4B" w:rsidR="00725F2A" w:rsidRDefault="00725F2A" w:rsidP="000830E6">
      <w:pPr>
        <w:spacing w:after="0"/>
        <w:ind w:firstLine="720"/>
        <w:jc w:val="both"/>
        <w:rPr>
          <w:rFonts w:ascii="Times New Roman" w:hAnsi="Times New Roman"/>
          <w:color w:val="2A2A2A"/>
          <w:sz w:val="28"/>
          <w:szCs w:val="28"/>
          <w:shd w:val="clear" w:color="auto" w:fill="FFFFFF"/>
        </w:rPr>
      </w:pPr>
      <w:r>
        <w:rPr>
          <w:rFonts w:ascii="Times New Roman" w:hAnsi="Times New Roman"/>
          <w:color w:val="2A2A2A"/>
          <w:sz w:val="28"/>
          <w:szCs w:val="28"/>
          <w:shd w:val="clear" w:color="auto" w:fill="FFFFFF"/>
        </w:rPr>
        <w:t xml:space="preserve">Pētījumā ir ņemti vērā 2018. gadā veiktā pētījuma </w:t>
      </w:r>
      <w:r w:rsidR="00176B24">
        <w:rPr>
          <w:rFonts w:ascii="Times New Roman" w:hAnsi="Times New Roman"/>
          <w:i/>
          <w:iCs/>
          <w:color w:val="2A2A2A"/>
          <w:sz w:val="28"/>
          <w:szCs w:val="28"/>
          <w:shd w:val="clear" w:color="auto" w:fill="FFFFFF"/>
        </w:rPr>
        <w:t>P</w:t>
      </w:r>
      <w:r w:rsidR="00176B24" w:rsidRPr="00176B24">
        <w:rPr>
          <w:rFonts w:ascii="Times New Roman" w:hAnsi="Times New Roman"/>
          <w:i/>
          <w:iCs/>
          <w:color w:val="2A2A2A"/>
          <w:sz w:val="28"/>
          <w:szCs w:val="28"/>
          <w:shd w:val="clear" w:color="auto" w:fill="FFFFFF"/>
        </w:rPr>
        <w:t>ar prognozētām izmaiņām darbaspēka un būvmateriālu izmaksām būvniecības nozarē Latvijā</w:t>
      </w:r>
      <w:r w:rsidR="00176B24">
        <w:rPr>
          <w:rFonts w:ascii="Times New Roman" w:hAnsi="Times New Roman"/>
          <w:i/>
          <w:iCs/>
          <w:color w:val="2A2A2A"/>
          <w:sz w:val="28"/>
          <w:szCs w:val="28"/>
          <w:shd w:val="clear" w:color="auto" w:fill="FFFFFF"/>
        </w:rPr>
        <w:t xml:space="preserve"> </w:t>
      </w:r>
      <w:r w:rsidR="00176B24">
        <w:rPr>
          <w:rFonts w:ascii="Times New Roman" w:hAnsi="Times New Roman"/>
          <w:color w:val="2A2A2A"/>
          <w:sz w:val="28"/>
          <w:szCs w:val="28"/>
          <w:shd w:val="clear" w:color="auto" w:fill="FFFFFF"/>
        </w:rPr>
        <w:t xml:space="preserve">rezultāti un secinājumi. Abi pētījumi ir publicēti Ekonomikas ministrijas tīmekļa vietnē </w:t>
      </w:r>
      <w:hyperlink r:id="rId8" w:history="1">
        <w:r w:rsidR="00176B24" w:rsidRPr="00A508C1">
          <w:rPr>
            <w:rStyle w:val="Hyperlink"/>
            <w:rFonts w:ascii="Times New Roman" w:hAnsi="Times New Roman"/>
            <w:sz w:val="28"/>
            <w:szCs w:val="28"/>
            <w:shd w:val="clear" w:color="auto" w:fill="FFFFFF"/>
          </w:rPr>
          <w:t>https://www.em.gov.lv/lv/nozares_politika/buvnieciba/statistika__petijumi/</w:t>
        </w:r>
      </w:hyperlink>
      <w:r w:rsidR="00176B24">
        <w:rPr>
          <w:rFonts w:ascii="Times New Roman" w:hAnsi="Times New Roman"/>
          <w:color w:val="2A2A2A"/>
          <w:sz w:val="28"/>
          <w:szCs w:val="28"/>
          <w:shd w:val="clear" w:color="auto" w:fill="FFFFFF"/>
        </w:rPr>
        <w:t xml:space="preserve">. </w:t>
      </w:r>
    </w:p>
    <w:p w14:paraId="1A1304A5" w14:textId="77777777" w:rsidR="00176B24" w:rsidRPr="00176B24" w:rsidRDefault="00176B24" w:rsidP="000830E6">
      <w:pPr>
        <w:spacing w:after="0"/>
        <w:ind w:firstLine="720"/>
        <w:jc w:val="both"/>
        <w:rPr>
          <w:rFonts w:ascii="Times New Roman" w:hAnsi="Times New Roman"/>
          <w:color w:val="2A2A2A"/>
          <w:sz w:val="28"/>
          <w:szCs w:val="28"/>
          <w:shd w:val="clear" w:color="auto" w:fill="FFFFFF"/>
        </w:rPr>
      </w:pPr>
    </w:p>
    <w:p w14:paraId="2EF5A2B2" w14:textId="4391DC70" w:rsidR="00B75742" w:rsidRPr="00B75742" w:rsidRDefault="00B75742" w:rsidP="00B75742">
      <w:pPr>
        <w:ind w:firstLine="720"/>
        <w:jc w:val="both"/>
        <w:rPr>
          <w:rFonts w:ascii="Times New Roman" w:hAnsi="Times New Roman"/>
          <w:color w:val="2A2A2A"/>
          <w:sz w:val="28"/>
          <w:szCs w:val="28"/>
          <w:shd w:val="clear" w:color="auto" w:fill="FFFFFF"/>
        </w:rPr>
      </w:pPr>
    </w:p>
    <w:p w14:paraId="1D990D61" w14:textId="77777777" w:rsidR="00B75742" w:rsidRDefault="00B75742">
      <w:pPr>
        <w:rPr>
          <w:rFonts w:ascii="Times New Roman" w:hAnsi="Times New Roman"/>
          <w:color w:val="2A2A2A"/>
          <w:sz w:val="24"/>
          <w:szCs w:val="24"/>
          <w:shd w:val="clear" w:color="auto" w:fill="FFFFFF"/>
        </w:rPr>
      </w:pPr>
      <w:r>
        <w:rPr>
          <w:rFonts w:ascii="Times New Roman" w:hAnsi="Times New Roman"/>
          <w:color w:val="2A2A2A"/>
          <w:sz w:val="24"/>
          <w:szCs w:val="24"/>
          <w:shd w:val="clear" w:color="auto" w:fill="FFFFFF"/>
        </w:rPr>
        <w:br w:type="page"/>
      </w:r>
    </w:p>
    <w:p w14:paraId="20AB9218" w14:textId="77777777" w:rsidR="00B75742" w:rsidRPr="00BA48C2" w:rsidRDefault="00B75742" w:rsidP="00B75742">
      <w:pPr>
        <w:ind w:firstLine="720"/>
        <w:jc w:val="both"/>
        <w:rPr>
          <w:rFonts w:ascii="Times New Roman" w:hAnsi="Times New Roman"/>
          <w:color w:val="9CC2E5" w:themeColor="accent5" w:themeTint="99"/>
          <w:sz w:val="24"/>
          <w:szCs w:val="24"/>
          <w:shd w:val="clear" w:color="auto" w:fill="FFFFFF"/>
        </w:rPr>
      </w:pPr>
    </w:p>
    <w:sdt>
      <w:sdtPr>
        <w:rPr>
          <w:rFonts w:asciiTheme="minorHAnsi" w:eastAsiaTheme="minorEastAsia" w:hAnsiTheme="minorHAnsi" w:cstheme="minorBidi"/>
          <w:b w:val="0"/>
          <w:color w:val="auto"/>
          <w:sz w:val="21"/>
          <w:szCs w:val="21"/>
        </w:rPr>
        <w:id w:val="-1312018270"/>
        <w:docPartObj>
          <w:docPartGallery w:val="Table of Contents"/>
          <w:docPartUnique/>
        </w:docPartObj>
      </w:sdtPr>
      <w:sdtEndPr>
        <w:rPr>
          <w:rFonts w:ascii="Times New Roman" w:hAnsi="Times New Roman" w:cs="Times New Roman"/>
          <w:bCs/>
          <w:sz w:val="24"/>
          <w:szCs w:val="24"/>
        </w:rPr>
      </w:sdtEndPr>
      <w:sdtContent>
        <w:p w14:paraId="75FA3A52" w14:textId="3FADDB91" w:rsidR="0043103F" w:rsidRPr="00B75742" w:rsidRDefault="0043103F">
          <w:pPr>
            <w:pStyle w:val="TOCHeading"/>
            <w:rPr>
              <w:rFonts w:cs="Times New Roman"/>
              <w:b w:val="0"/>
              <w:sz w:val="28"/>
              <w:szCs w:val="28"/>
            </w:rPr>
          </w:pPr>
          <w:r w:rsidRPr="00B75742">
            <w:rPr>
              <w:rFonts w:cs="Times New Roman"/>
              <w:b w:val="0"/>
              <w:sz w:val="28"/>
              <w:szCs w:val="28"/>
            </w:rPr>
            <w:t>Satur</w:t>
          </w:r>
          <w:r w:rsidR="008B159C" w:rsidRPr="00B75742">
            <w:rPr>
              <w:rFonts w:cs="Times New Roman"/>
              <w:b w:val="0"/>
              <w:sz w:val="28"/>
              <w:szCs w:val="28"/>
            </w:rPr>
            <w:t>s</w:t>
          </w:r>
        </w:p>
        <w:p w14:paraId="6CEE4164" w14:textId="2BE25BA9" w:rsidR="00772E78" w:rsidRDefault="0043103F">
          <w:pPr>
            <w:pStyle w:val="TOC1"/>
            <w:tabs>
              <w:tab w:val="right" w:leader="dot" w:pos="9061"/>
            </w:tabs>
            <w:rPr>
              <w:noProof/>
              <w:sz w:val="22"/>
              <w:szCs w:val="22"/>
              <w:lang w:eastAsia="lv-LV"/>
            </w:rPr>
          </w:pPr>
          <w:r w:rsidRPr="00B75742">
            <w:rPr>
              <w:rFonts w:ascii="Times New Roman" w:hAnsi="Times New Roman" w:cs="Times New Roman"/>
              <w:b/>
              <w:bCs/>
              <w:sz w:val="28"/>
              <w:szCs w:val="28"/>
            </w:rPr>
            <w:fldChar w:fldCharType="begin"/>
          </w:r>
          <w:r w:rsidRPr="00B75742">
            <w:rPr>
              <w:rFonts w:ascii="Times New Roman" w:hAnsi="Times New Roman" w:cs="Times New Roman"/>
              <w:b/>
              <w:bCs/>
              <w:sz w:val="28"/>
              <w:szCs w:val="28"/>
            </w:rPr>
            <w:instrText xml:space="preserve"> TOC \o "1-3" \h \z \u </w:instrText>
          </w:r>
          <w:r w:rsidRPr="00B75742">
            <w:rPr>
              <w:rFonts w:ascii="Times New Roman" w:hAnsi="Times New Roman" w:cs="Times New Roman"/>
              <w:b/>
              <w:bCs/>
              <w:sz w:val="28"/>
              <w:szCs w:val="28"/>
            </w:rPr>
            <w:fldChar w:fldCharType="separate"/>
          </w:r>
          <w:hyperlink w:anchor="_Toc15480921" w:history="1">
            <w:r w:rsidR="00772E78" w:rsidRPr="00925194">
              <w:rPr>
                <w:rStyle w:val="Hyperlink"/>
                <w:rFonts w:ascii="Times New Roman" w:hAnsi="Times New Roman"/>
                <w:b/>
                <w:noProof/>
              </w:rPr>
              <w:t>Ziņojumā lietotie saīsinājumi</w:t>
            </w:r>
            <w:r w:rsidR="00772E78">
              <w:rPr>
                <w:noProof/>
                <w:webHidden/>
              </w:rPr>
              <w:tab/>
            </w:r>
            <w:r w:rsidR="00772E78">
              <w:rPr>
                <w:noProof/>
                <w:webHidden/>
              </w:rPr>
              <w:fldChar w:fldCharType="begin"/>
            </w:r>
            <w:r w:rsidR="00772E78">
              <w:rPr>
                <w:noProof/>
                <w:webHidden/>
              </w:rPr>
              <w:instrText xml:space="preserve"> PAGEREF _Toc15480921 \h </w:instrText>
            </w:r>
            <w:r w:rsidR="00772E78">
              <w:rPr>
                <w:noProof/>
                <w:webHidden/>
              </w:rPr>
            </w:r>
            <w:r w:rsidR="00772E78">
              <w:rPr>
                <w:noProof/>
                <w:webHidden/>
              </w:rPr>
              <w:fldChar w:fldCharType="separate"/>
            </w:r>
            <w:r w:rsidR="00402A5C">
              <w:rPr>
                <w:noProof/>
                <w:webHidden/>
              </w:rPr>
              <w:t>2</w:t>
            </w:r>
            <w:r w:rsidR="00772E78">
              <w:rPr>
                <w:noProof/>
                <w:webHidden/>
              </w:rPr>
              <w:fldChar w:fldCharType="end"/>
            </w:r>
          </w:hyperlink>
        </w:p>
        <w:p w14:paraId="0B4F8D19" w14:textId="07237B1B" w:rsidR="00772E78" w:rsidRDefault="00BE4B13">
          <w:pPr>
            <w:pStyle w:val="TOC1"/>
            <w:tabs>
              <w:tab w:val="right" w:leader="dot" w:pos="9061"/>
            </w:tabs>
            <w:rPr>
              <w:noProof/>
              <w:sz w:val="22"/>
              <w:szCs w:val="22"/>
              <w:lang w:eastAsia="lv-LV"/>
            </w:rPr>
          </w:pPr>
          <w:hyperlink w:anchor="_Toc15480922" w:history="1">
            <w:r w:rsidR="00772E78" w:rsidRPr="00925194">
              <w:rPr>
                <w:rStyle w:val="Hyperlink"/>
                <w:rFonts w:ascii="Times New Roman" w:hAnsi="Times New Roman"/>
                <w:b/>
                <w:noProof/>
              </w:rPr>
              <w:t>1. Būvniecības nozares attīstības novērtējums un ietekme uz tautsaimniecību</w:t>
            </w:r>
            <w:r w:rsidR="00772E78">
              <w:rPr>
                <w:noProof/>
                <w:webHidden/>
              </w:rPr>
              <w:tab/>
            </w:r>
            <w:r w:rsidR="00772E78">
              <w:rPr>
                <w:noProof/>
                <w:webHidden/>
              </w:rPr>
              <w:fldChar w:fldCharType="begin"/>
            </w:r>
            <w:r w:rsidR="00772E78">
              <w:rPr>
                <w:noProof/>
                <w:webHidden/>
              </w:rPr>
              <w:instrText xml:space="preserve"> PAGEREF _Toc15480922 \h </w:instrText>
            </w:r>
            <w:r w:rsidR="00772E78">
              <w:rPr>
                <w:noProof/>
                <w:webHidden/>
              </w:rPr>
            </w:r>
            <w:r w:rsidR="00772E78">
              <w:rPr>
                <w:noProof/>
                <w:webHidden/>
              </w:rPr>
              <w:fldChar w:fldCharType="separate"/>
            </w:r>
            <w:r w:rsidR="00402A5C">
              <w:rPr>
                <w:noProof/>
                <w:webHidden/>
              </w:rPr>
              <w:t>3</w:t>
            </w:r>
            <w:r w:rsidR="00772E78">
              <w:rPr>
                <w:noProof/>
                <w:webHidden/>
              </w:rPr>
              <w:fldChar w:fldCharType="end"/>
            </w:r>
          </w:hyperlink>
        </w:p>
        <w:p w14:paraId="05E49DA0" w14:textId="7EDB678D" w:rsidR="00772E78" w:rsidRDefault="00BE4B13">
          <w:pPr>
            <w:pStyle w:val="TOC1"/>
            <w:tabs>
              <w:tab w:val="right" w:leader="dot" w:pos="9061"/>
            </w:tabs>
            <w:rPr>
              <w:noProof/>
              <w:sz w:val="22"/>
              <w:szCs w:val="22"/>
              <w:lang w:eastAsia="lv-LV"/>
            </w:rPr>
          </w:pPr>
          <w:hyperlink w:anchor="_Toc15480923" w:history="1">
            <w:r w:rsidR="00772E78" w:rsidRPr="00925194">
              <w:rPr>
                <w:rStyle w:val="Hyperlink"/>
                <w:rFonts w:ascii="Times New Roman" w:hAnsi="Times New Roman"/>
                <w:b/>
                <w:noProof/>
              </w:rPr>
              <w:t>2. Darbaspēka un būvmateriālu izmaksu prognoze būvniecības nozarē Latvijā</w:t>
            </w:r>
            <w:r w:rsidR="00772E78">
              <w:rPr>
                <w:noProof/>
                <w:webHidden/>
              </w:rPr>
              <w:tab/>
            </w:r>
            <w:r w:rsidR="00772E78">
              <w:rPr>
                <w:noProof/>
                <w:webHidden/>
              </w:rPr>
              <w:fldChar w:fldCharType="begin"/>
            </w:r>
            <w:r w:rsidR="00772E78">
              <w:rPr>
                <w:noProof/>
                <w:webHidden/>
              </w:rPr>
              <w:instrText xml:space="preserve"> PAGEREF _Toc15480923 \h </w:instrText>
            </w:r>
            <w:r w:rsidR="00772E78">
              <w:rPr>
                <w:noProof/>
                <w:webHidden/>
              </w:rPr>
            </w:r>
            <w:r w:rsidR="00772E78">
              <w:rPr>
                <w:noProof/>
                <w:webHidden/>
              </w:rPr>
              <w:fldChar w:fldCharType="separate"/>
            </w:r>
            <w:r w:rsidR="00402A5C">
              <w:rPr>
                <w:noProof/>
                <w:webHidden/>
              </w:rPr>
              <w:t>3</w:t>
            </w:r>
            <w:r w:rsidR="00772E78">
              <w:rPr>
                <w:noProof/>
                <w:webHidden/>
              </w:rPr>
              <w:fldChar w:fldCharType="end"/>
            </w:r>
          </w:hyperlink>
        </w:p>
        <w:p w14:paraId="2E7FB6AD" w14:textId="75D4C20C" w:rsidR="00772E78" w:rsidRDefault="00BE4B13">
          <w:pPr>
            <w:pStyle w:val="TOC2"/>
            <w:tabs>
              <w:tab w:val="right" w:leader="dot" w:pos="9061"/>
            </w:tabs>
            <w:rPr>
              <w:noProof/>
              <w:sz w:val="22"/>
              <w:szCs w:val="22"/>
              <w:lang w:eastAsia="lv-LV"/>
            </w:rPr>
          </w:pPr>
          <w:hyperlink w:anchor="_Toc15480924" w:history="1">
            <w:r w:rsidR="00772E78" w:rsidRPr="00925194">
              <w:rPr>
                <w:rStyle w:val="Hyperlink"/>
                <w:rFonts w:ascii="Times New Roman" w:hAnsi="Times New Roman"/>
                <w:b/>
                <w:noProof/>
              </w:rPr>
              <w:t>2.1. Būvniecības produkcijas apjomi</w:t>
            </w:r>
            <w:r w:rsidR="00772E78">
              <w:rPr>
                <w:noProof/>
                <w:webHidden/>
              </w:rPr>
              <w:tab/>
            </w:r>
            <w:r w:rsidR="00772E78">
              <w:rPr>
                <w:noProof/>
                <w:webHidden/>
              </w:rPr>
              <w:fldChar w:fldCharType="begin"/>
            </w:r>
            <w:r w:rsidR="00772E78">
              <w:rPr>
                <w:noProof/>
                <w:webHidden/>
              </w:rPr>
              <w:instrText xml:space="preserve"> PAGEREF _Toc15480924 \h </w:instrText>
            </w:r>
            <w:r w:rsidR="00772E78">
              <w:rPr>
                <w:noProof/>
                <w:webHidden/>
              </w:rPr>
            </w:r>
            <w:r w:rsidR="00772E78">
              <w:rPr>
                <w:noProof/>
                <w:webHidden/>
              </w:rPr>
              <w:fldChar w:fldCharType="separate"/>
            </w:r>
            <w:r w:rsidR="00402A5C">
              <w:rPr>
                <w:noProof/>
                <w:webHidden/>
              </w:rPr>
              <w:t>8</w:t>
            </w:r>
            <w:r w:rsidR="00772E78">
              <w:rPr>
                <w:noProof/>
                <w:webHidden/>
              </w:rPr>
              <w:fldChar w:fldCharType="end"/>
            </w:r>
          </w:hyperlink>
        </w:p>
        <w:p w14:paraId="748FE37C" w14:textId="779DADA5" w:rsidR="00772E78" w:rsidRDefault="00BE4B13">
          <w:pPr>
            <w:pStyle w:val="TOC3"/>
            <w:tabs>
              <w:tab w:val="right" w:leader="dot" w:pos="9061"/>
            </w:tabs>
            <w:rPr>
              <w:noProof/>
              <w:sz w:val="22"/>
              <w:szCs w:val="22"/>
              <w:lang w:eastAsia="lv-LV"/>
            </w:rPr>
          </w:pPr>
          <w:hyperlink w:anchor="_Toc15480925" w:history="1">
            <w:r w:rsidR="00772E78" w:rsidRPr="00925194">
              <w:rPr>
                <w:rStyle w:val="Hyperlink"/>
                <w:rFonts w:ascii="Times New Roman" w:hAnsi="Times New Roman" w:cs="Times New Roman"/>
                <w:b/>
                <w:noProof/>
              </w:rPr>
              <w:t>2.1.1. Būvniecības produkcijas kopējo apjomu izmaiņas</w:t>
            </w:r>
            <w:r w:rsidR="00772E78">
              <w:rPr>
                <w:noProof/>
                <w:webHidden/>
              </w:rPr>
              <w:tab/>
            </w:r>
            <w:r w:rsidR="00772E78">
              <w:rPr>
                <w:noProof/>
                <w:webHidden/>
              </w:rPr>
              <w:fldChar w:fldCharType="begin"/>
            </w:r>
            <w:r w:rsidR="00772E78">
              <w:rPr>
                <w:noProof/>
                <w:webHidden/>
              </w:rPr>
              <w:instrText xml:space="preserve"> PAGEREF _Toc15480925 \h </w:instrText>
            </w:r>
            <w:r w:rsidR="00772E78">
              <w:rPr>
                <w:noProof/>
                <w:webHidden/>
              </w:rPr>
            </w:r>
            <w:r w:rsidR="00772E78">
              <w:rPr>
                <w:noProof/>
                <w:webHidden/>
              </w:rPr>
              <w:fldChar w:fldCharType="separate"/>
            </w:r>
            <w:r w:rsidR="00402A5C">
              <w:rPr>
                <w:noProof/>
                <w:webHidden/>
              </w:rPr>
              <w:t>8</w:t>
            </w:r>
            <w:r w:rsidR="00772E78">
              <w:rPr>
                <w:noProof/>
                <w:webHidden/>
              </w:rPr>
              <w:fldChar w:fldCharType="end"/>
            </w:r>
          </w:hyperlink>
        </w:p>
        <w:p w14:paraId="4F1707AE" w14:textId="7656564A" w:rsidR="00772E78" w:rsidRDefault="00BE4B13">
          <w:pPr>
            <w:pStyle w:val="TOC3"/>
            <w:tabs>
              <w:tab w:val="right" w:leader="dot" w:pos="9061"/>
            </w:tabs>
            <w:rPr>
              <w:noProof/>
              <w:sz w:val="22"/>
              <w:szCs w:val="22"/>
              <w:lang w:eastAsia="lv-LV"/>
            </w:rPr>
          </w:pPr>
          <w:hyperlink w:anchor="_Toc15480926" w:history="1">
            <w:r w:rsidR="00772E78" w:rsidRPr="00925194">
              <w:rPr>
                <w:rStyle w:val="Hyperlink"/>
                <w:rFonts w:ascii="Times New Roman" w:hAnsi="Times New Roman"/>
                <w:b/>
                <w:noProof/>
              </w:rPr>
              <w:t>2.1.2.Būvniecības produkcijas apjomu izmaiņas pa apakšnozarēm</w:t>
            </w:r>
            <w:r w:rsidR="00772E78">
              <w:rPr>
                <w:noProof/>
                <w:webHidden/>
              </w:rPr>
              <w:tab/>
            </w:r>
            <w:r w:rsidR="00772E78">
              <w:rPr>
                <w:noProof/>
                <w:webHidden/>
              </w:rPr>
              <w:fldChar w:fldCharType="begin"/>
            </w:r>
            <w:r w:rsidR="00772E78">
              <w:rPr>
                <w:noProof/>
                <w:webHidden/>
              </w:rPr>
              <w:instrText xml:space="preserve"> PAGEREF _Toc15480926 \h </w:instrText>
            </w:r>
            <w:r w:rsidR="00772E78">
              <w:rPr>
                <w:noProof/>
                <w:webHidden/>
              </w:rPr>
            </w:r>
            <w:r w:rsidR="00772E78">
              <w:rPr>
                <w:noProof/>
                <w:webHidden/>
              </w:rPr>
              <w:fldChar w:fldCharType="separate"/>
            </w:r>
            <w:r w:rsidR="00402A5C">
              <w:rPr>
                <w:noProof/>
                <w:webHidden/>
              </w:rPr>
              <w:t>9</w:t>
            </w:r>
            <w:r w:rsidR="00772E78">
              <w:rPr>
                <w:noProof/>
                <w:webHidden/>
              </w:rPr>
              <w:fldChar w:fldCharType="end"/>
            </w:r>
          </w:hyperlink>
        </w:p>
        <w:p w14:paraId="418E6CF6" w14:textId="58B870C5" w:rsidR="00772E78" w:rsidRDefault="00BE4B13">
          <w:pPr>
            <w:pStyle w:val="TOC3"/>
            <w:tabs>
              <w:tab w:val="right" w:leader="dot" w:pos="9061"/>
            </w:tabs>
            <w:rPr>
              <w:noProof/>
              <w:sz w:val="22"/>
              <w:szCs w:val="22"/>
              <w:lang w:eastAsia="lv-LV"/>
            </w:rPr>
          </w:pPr>
          <w:hyperlink w:anchor="_Toc15480927" w:history="1">
            <w:r w:rsidR="00772E78" w:rsidRPr="00925194">
              <w:rPr>
                <w:rStyle w:val="Hyperlink"/>
                <w:rFonts w:ascii="Times New Roman" w:hAnsi="Times New Roman" w:cs="Times New Roman"/>
                <w:b/>
                <w:noProof/>
              </w:rPr>
              <w:t>Dzīvojamo ēku būvniecības apakšnozare</w:t>
            </w:r>
            <w:r w:rsidR="00772E78">
              <w:rPr>
                <w:noProof/>
                <w:webHidden/>
              </w:rPr>
              <w:tab/>
            </w:r>
            <w:r w:rsidR="00772E78">
              <w:rPr>
                <w:noProof/>
                <w:webHidden/>
              </w:rPr>
              <w:fldChar w:fldCharType="begin"/>
            </w:r>
            <w:r w:rsidR="00772E78">
              <w:rPr>
                <w:noProof/>
                <w:webHidden/>
              </w:rPr>
              <w:instrText xml:space="preserve"> PAGEREF _Toc15480927 \h </w:instrText>
            </w:r>
            <w:r w:rsidR="00772E78">
              <w:rPr>
                <w:noProof/>
                <w:webHidden/>
              </w:rPr>
            </w:r>
            <w:r w:rsidR="00772E78">
              <w:rPr>
                <w:noProof/>
                <w:webHidden/>
              </w:rPr>
              <w:fldChar w:fldCharType="separate"/>
            </w:r>
            <w:r w:rsidR="00402A5C">
              <w:rPr>
                <w:noProof/>
                <w:webHidden/>
              </w:rPr>
              <w:t>10</w:t>
            </w:r>
            <w:r w:rsidR="00772E78">
              <w:rPr>
                <w:noProof/>
                <w:webHidden/>
              </w:rPr>
              <w:fldChar w:fldCharType="end"/>
            </w:r>
          </w:hyperlink>
        </w:p>
        <w:p w14:paraId="0FF6EF8A" w14:textId="2A5F54D2" w:rsidR="00772E78" w:rsidRDefault="00BE4B13">
          <w:pPr>
            <w:pStyle w:val="TOC3"/>
            <w:tabs>
              <w:tab w:val="right" w:leader="dot" w:pos="9061"/>
            </w:tabs>
            <w:rPr>
              <w:noProof/>
              <w:sz w:val="22"/>
              <w:szCs w:val="22"/>
              <w:lang w:eastAsia="lv-LV"/>
            </w:rPr>
          </w:pPr>
          <w:hyperlink w:anchor="_Toc15480928" w:history="1">
            <w:r w:rsidR="00772E78" w:rsidRPr="00925194">
              <w:rPr>
                <w:rStyle w:val="Hyperlink"/>
                <w:rFonts w:ascii="Times New Roman" w:hAnsi="Times New Roman" w:cs="Times New Roman"/>
                <w:b/>
                <w:noProof/>
              </w:rPr>
              <w:t>Nedzīvojamo ēku būvniecības apakšnozare</w:t>
            </w:r>
            <w:r w:rsidR="00772E78">
              <w:rPr>
                <w:noProof/>
                <w:webHidden/>
              </w:rPr>
              <w:tab/>
            </w:r>
            <w:r w:rsidR="00772E78">
              <w:rPr>
                <w:noProof/>
                <w:webHidden/>
              </w:rPr>
              <w:fldChar w:fldCharType="begin"/>
            </w:r>
            <w:r w:rsidR="00772E78">
              <w:rPr>
                <w:noProof/>
                <w:webHidden/>
              </w:rPr>
              <w:instrText xml:space="preserve"> PAGEREF _Toc15480928 \h </w:instrText>
            </w:r>
            <w:r w:rsidR="00772E78">
              <w:rPr>
                <w:noProof/>
                <w:webHidden/>
              </w:rPr>
            </w:r>
            <w:r w:rsidR="00772E78">
              <w:rPr>
                <w:noProof/>
                <w:webHidden/>
              </w:rPr>
              <w:fldChar w:fldCharType="separate"/>
            </w:r>
            <w:r w:rsidR="00402A5C">
              <w:rPr>
                <w:noProof/>
                <w:webHidden/>
              </w:rPr>
              <w:t>11</w:t>
            </w:r>
            <w:r w:rsidR="00772E78">
              <w:rPr>
                <w:noProof/>
                <w:webHidden/>
              </w:rPr>
              <w:fldChar w:fldCharType="end"/>
            </w:r>
          </w:hyperlink>
        </w:p>
        <w:p w14:paraId="0F503044" w14:textId="5EA4F3A3" w:rsidR="00772E78" w:rsidRDefault="00BE4B13">
          <w:pPr>
            <w:pStyle w:val="TOC3"/>
            <w:tabs>
              <w:tab w:val="right" w:leader="dot" w:pos="9061"/>
            </w:tabs>
            <w:rPr>
              <w:noProof/>
              <w:sz w:val="22"/>
              <w:szCs w:val="22"/>
              <w:lang w:eastAsia="lv-LV"/>
            </w:rPr>
          </w:pPr>
          <w:hyperlink w:anchor="_Toc15480929" w:history="1">
            <w:r w:rsidR="00772E78" w:rsidRPr="00925194">
              <w:rPr>
                <w:rStyle w:val="Hyperlink"/>
                <w:rFonts w:ascii="Times New Roman" w:hAnsi="Times New Roman"/>
                <w:b/>
                <w:noProof/>
              </w:rPr>
              <w:t>Transportbūvju būvniecības apakšnozare</w:t>
            </w:r>
            <w:r w:rsidR="00772E78">
              <w:rPr>
                <w:noProof/>
                <w:webHidden/>
              </w:rPr>
              <w:tab/>
            </w:r>
            <w:r w:rsidR="00772E78">
              <w:rPr>
                <w:noProof/>
                <w:webHidden/>
              </w:rPr>
              <w:fldChar w:fldCharType="begin"/>
            </w:r>
            <w:r w:rsidR="00772E78">
              <w:rPr>
                <w:noProof/>
                <w:webHidden/>
              </w:rPr>
              <w:instrText xml:space="preserve"> PAGEREF _Toc15480929 \h </w:instrText>
            </w:r>
            <w:r w:rsidR="00772E78">
              <w:rPr>
                <w:noProof/>
                <w:webHidden/>
              </w:rPr>
            </w:r>
            <w:r w:rsidR="00772E78">
              <w:rPr>
                <w:noProof/>
                <w:webHidden/>
              </w:rPr>
              <w:fldChar w:fldCharType="separate"/>
            </w:r>
            <w:r w:rsidR="00402A5C">
              <w:rPr>
                <w:noProof/>
                <w:webHidden/>
              </w:rPr>
              <w:t>12</w:t>
            </w:r>
            <w:r w:rsidR="00772E78">
              <w:rPr>
                <w:noProof/>
                <w:webHidden/>
              </w:rPr>
              <w:fldChar w:fldCharType="end"/>
            </w:r>
          </w:hyperlink>
        </w:p>
        <w:p w14:paraId="12585DD9" w14:textId="6397A60F" w:rsidR="00772E78" w:rsidRDefault="00BE4B13">
          <w:pPr>
            <w:pStyle w:val="TOC3"/>
            <w:tabs>
              <w:tab w:val="right" w:leader="dot" w:pos="9061"/>
            </w:tabs>
            <w:rPr>
              <w:noProof/>
              <w:sz w:val="22"/>
              <w:szCs w:val="22"/>
              <w:lang w:eastAsia="lv-LV"/>
            </w:rPr>
          </w:pPr>
          <w:hyperlink w:anchor="_Toc15480930" w:history="1">
            <w:r w:rsidR="00772E78" w:rsidRPr="00925194">
              <w:rPr>
                <w:rStyle w:val="Hyperlink"/>
                <w:rFonts w:ascii="Times New Roman" w:hAnsi="Times New Roman"/>
                <w:b/>
                <w:noProof/>
              </w:rPr>
              <w:t>Pilsētas infrastruktūras objektu būvniecība</w:t>
            </w:r>
            <w:r w:rsidR="00772E78">
              <w:rPr>
                <w:noProof/>
                <w:webHidden/>
              </w:rPr>
              <w:tab/>
            </w:r>
            <w:r w:rsidR="00772E78">
              <w:rPr>
                <w:noProof/>
                <w:webHidden/>
              </w:rPr>
              <w:fldChar w:fldCharType="begin"/>
            </w:r>
            <w:r w:rsidR="00772E78">
              <w:rPr>
                <w:noProof/>
                <w:webHidden/>
              </w:rPr>
              <w:instrText xml:space="preserve"> PAGEREF _Toc15480930 \h </w:instrText>
            </w:r>
            <w:r w:rsidR="00772E78">
              <w:rPr>
                <w:noProof/>
                <w:webHidden/>
              </w:rPr>
            </w:r>
            <w:r w:rsidR="00772E78">
              <w:rPr>
                <w:noProof/>
                <w:webHidden/>
              </w:rPr>
              <w:fldChar w:fldCharType="separate"/>
            </w:r>
            <w:r w:rsidR="00402A5C">
              <w:rPr>
                <w:noProof/>
                <w:webHidden/>
              </w:rPr>
              <w:t>13</w:t>
            </w:r>
            <w:r w:rsidR="00772E78">
              <w:rPr>
                <w:noProof/>
                <w:webHidden/>
              </w:rPr>
              <w:fldChar w:fldCharType="end"/>
            </w:r>
          </w:hyperlink>
        </w:p>
        <w:p w14:paraId="631509B3" w14:textId="312DF96F" w:rsidR="00772E78" w:rsidRDefault="00BE4B13">
          <w:pPr>
            <w:pStyle w:val="TOC2"/>
            <w:tabs>
              <w:tab w:val="right" w:leader="dot" w:pos="9061"/>
            </w:tabs>
            <w:rPr>
              <w:noProof/>
              <w:sz w:val="22"/>
              <w:szCs w:val="22"/>
              <w:lang w:eastAsia="lv-LV"/>
            </w:rPr>
          </w:pPr>
          <w:hyperlink w:anchor="_Toc15480931" w:history="1">
            <w:r w:rsidR="00772E78" w:rsidRPr="00925194">
              <w:rPr>
                <w:rStyle w:val="Hyperlink"/>
                <w:rFonts w:ascii="Times New Roman" w:eastAsia="Times New Roman" w:hAnsi="Times New Roman"/>
                <w:b/>
                <w:noProof/>
                <w:bdr w:val="none" w:sz="0" w:space="0" w:color="auto" w:frame="1"/>
                <w:lang w:eastAsia="en-GB"/>
              </w:rPr>
              <w:t>2.2. Būvniecības produkcijas izmaksas</w:t>
            </w:r>
            <w:r w:rsidR="00772E78">
              <w:rPr>
                <w:noProof/>
                <w:webHidden/>
              </w:rPr>
              <w:tab/>
            </w:r>
            <w:r w:rsidR="00772E78">
              <w:rPr>
                <w:noProof/>
                <w:webHidden/>
              </w:rPr>
              <w:fldChar w:fldCharType="begin"/>
            </w:r>
            <w:r w:rsidR="00772E78">
              <w:rPr>
                <w:noProof/>
                <w:webHidden/>
              </w:rPr>
              <w:instrText xml:space="preserve"> PAGEREF _Toc15480931 \h </w:instrText>
            </w:r>
            <w:r w:rsidR="00772E78">
              <w:rPr>
                <w:noProof/>
                <w:webHidden/>
              </w:rPr>
            </w:r>
            <w:r w:rsidR="00772E78">
              <w:rPr>
                <w:noProof/>
                <w:webHidden/>
              </w:rPr>
              <w:fldChar w:fldCharType="separate"/>
            </w:r>
            <w:r w:rsidR="00402A5C">
              <w:rPr>
                <w:noProof/>
                <w:webHidden/>
              </w:rPr>
              <w:t>14</w:t>
            </w:r>
            <w:r w:rsidR="00772E78">
              <w:rPr>
                <w:noProof/>
                <w:webHidden/>
              </w:rPr>
              <w:fldChar w:fldCharType="end"/>
            </w:r>
          </w:hyperlink>
        </w:p>
        <w:p w14:paraId="3921F6E3" w14:textId="26085902" w:rsidR="00772E78" w:rsidRDefault="00BE4B13">
          <w:pPr>
            <w:pStyle w:val="TOC2"/>
            <w:tabs>
              <w:tab w:val="right" w:leader="dot" w:pos="9061"/>
            </w:tabs>
            <w:rPr>
              <w:noProof/>
              <w:sz w:val="22"/>
              <w:szCs w:val="22"/>
              <w:lang w:eastAsia="lv-LV"/>
            </w:rPr>
          </w:pPr>
          <w:hyperlink w:anchor="_Toc15480932" w:history="1">
            <w:r w:rsidR="00772E78" w:rsidRPr="00925194">
              <w:rPr>
                <w:rStyle w:val="Hyperlink"/>
                <w:rFonts w:ascii="Times New Roman" w:eastAsia="Times New Roman" w:hAnsi="Times New Roman"/>
                <w:b/>
                <w:noProof/>
                <w:bdr w:val="none" w:sz="0" w:space="0" w:color="auto" w:frame="1"/>
                <w:lang w:eastAsia="en-GB"/>
              </w:rPr>
              <w:t>2.2.1. Būvniecības produkcijas kopējās izmaksu izmaiņas</w:t>
            </w:r>
            <w:r w:rsidR="00772E78">
              <w:rPr>
                <w:noProof/>
                <w:webHidden/>
              </w:rPr>
              <w:tab/>
            </w:r>
            <w:r w:rsidR="00772E78">
              <w:rPr>
                <w:noProof/>
                <w:webHidden/>
              </w:rPr>
              <w:fldChar w:fldCharType="begin"/>
            </w:r>
            <w:r w:rsidR="00772E78">
              <w:rPr>
                <w:noProof/>
                <w:webHidden/>
              </w:rPr>
              <w:instrText xml:space="preserve"> PAGEREF _Toc15480932 \h </w:instrText>
            </w:r>
            <w:r w:rsidR="00772E78">
              <w:rPr>
                <w:noProof/>
                <w:webHidden/>
              </w:rPr>
            </w:r>
            <w:r w:rsidR="00772E78">
              <w:rPr>
                <w:noProof/>
                <w:webHidden/>
              </w:rPr>
              <w:fldChar w:fldCharType="separate"/>
            </w:r>
            <w:r w:rsidR="00402A5C">
              <w:rPr>
                <w:noProof/>
                <w:webHidden/>
              </w:rPr>
              <w:t>14</w:t>
            </w:r>
            <w:r w:rsidR="00772E78">
              <w:rPr>
                <w:noProof/>
                <w:webHidden/>
              </w:rPr>
              <w:fldChar w:fldCharType="end"/>
            </w:r>
          </w:hyperlink>
        </w:p>
        <w:p w14:paraId="67093AA7" w14:textId="4A94B79D" w:rsidR="00772E78" w:rsidRDefault="00BE4B13">
          <w:pPr>
            <w:pStyle w:val="TOC2"/>
            <w:tabs>
              <w:tab w:val="right" w:leader="dot" w:pos="9061"/>
            </w:tabs>
            <w:rPr>
              <w:noProof/>
              <w:sz w:val="22"/>
              <w:szCs w:val="22"/>
              <w:lang w:eastAsia="lv-LV"/>
            </w:rPr>
          </w:pPr>
          <w:hyperlink w:anchor="_Toc15480933" w:history="1">
            <w:r w:rsidR="00772E78" w:rsidRPr="00925194">
              <w:rPr>
                <w:rStyle w:val="Hyperlink"/>
                <w:rFonts w:ascii="Times New Roman" w:eastAsia="Times New Roman" w:hAnsi="Times New Roman"/>
                <w:b/>
                <w:noProof/>
                <w:bdr w:val="none" w:sz="0" w:space="0" w:color="auto" w:frame="1"/>
                <w:lang w:eastAsia="en-GB"/>
              </w:rPr>
              <w:t>2.2.2. Būvniecības produkcijas izmaksu izmaiņas pa apakšnozarēm</w:t>
            </w:r>
            <w:r w:rsidR="00772E78">
              <w:rPr>
                <w:noProof/>
                <w:webHidden/>
              </w:rPr>
              <w:tab/>
            </w:r>
            <w:r w:rsidR="00772E78">
              <w:rPr>
                <w:noProof/>
                <w:webHidden/>
              </w:rPr>
              <w:fldChar w:fldCharType="begin"/>
            </w:r>
            <w:r w:rsidR="00772E78">
              <w:rPr>
                <w:noProof/>
                <w:webHidden/>
              </w:rPr>
              <w:instrText xml:space="preserve"> PAGEREF _Toc15480933 \h </w:instrText>
            </w:r>
            <w:r w:rsidR="00772E78">
              <w:rPr>
                <w:noProof/>
                <w:webHidden/>
              </w:rPr>
            </w:r>
            <w:r w:rsidR="00772E78">
              <w:rPr>
                <w:noProof/>
                <w:webHidden/>
              </w:rPr>
              <w:fldChar w:fldCharType="separate"/>
            </w:r>
            <w:r w:rsidR="00402A5C">
              <w:rPr>
                <w:noProof/>
                <w:webHidden/>
              </w:rPr>
              <w:t>15</w:t>
            </w:r>
            <w:r w:rsidR="00772E78">
              <w:rPr>
                <w:noProof/>
                <w:webHidden/>
              </w:rPr>
              <w:fldChar w:fldCharType="end"/>
            </w:r>
          </w:hyperlink>
        </w:p>
        <w:p w14:paraId="681C10DA" w14:textId="40C8EEF1" w:rsidR="00772E78" w:rsidRDefault="00BE4B13">
          <w:pPr>
            <w:pStyle w:val="TOC3"/>
            <w:tabs>
              <w:tab w:val="right" w:leader="dot" w:pos="9061"/>
            </w:tabs>
            <w:rPr>
              <w:noProof/>
              <w:sz w:val="22"/>
              <w:szCs w:val="22"/>
              <w:lang w:eastAsia="lv-LV"/>
            </w:rPr>
          </w:pPr>
          <w:hyperlink w:anchor="_Toc15480934" w:history="1">
            <w:r w:rsidR="00772E78" w:rsidRPr="00925194">
              <w:rPr>
                <w:rStyle w:val="Hyperlink"/>
                <w:rFonts w:ascii="Times New Roman" w:hAnsi="Times New Roman" w:cs="Times New Roman"/>
                <w:b/>
                <w:noProof/>
              </w:rPr>
              <w:t>Dzīvojamo ēku būvniecības apakšnozare</w:t>
            </w:r>
            <w:r w:rsidR="00772E78">
              <w:rPr>
                <w:noProof/>
                <w:webHidden/>
              </w:rPr>
              <w:tab/>
            </w:r>
            <w:r w:rsidR="00772E78">
              <w:rPr>
                <w:noProof/>
                <w:webHidden/>
              </w:rPr>
              <w:fldChar w:fldCharType="begin"/>
            </w:r>
            <w:r w:rsidR="00772E78">
              <w:rPr>
                <w:noProof/>
                <w:webHidden/>
              </w:rPr>
              <w:instrText xml:space="preserve"> PAGEREF _Toc15480934 \h </w:instrText>
            </w:r>
            <w:r w:rsidR="00772E78">
              <w:rPr>
                <w:noProof/>
                <w:webHidden/>
              </w:rPr>
            </w:r>
            <w:r w:rsidR="00772E78">
              <w:rPr>
                <w:noProof/>
                <w:webHidden/>
              </w:rPr>
              <w:fldChar w:fldCharType="separate"/>
            </w:r>
            <w:r w:rsidR="00402A5C">
              <w:rPr>
                <w:noProof/>
                <w:webHidden/>
              </w:rPr>
              <w:t>15</w:t>
            </w:r>
            <w:r w:rsidR="00772E78">
              <w:rPr>
                <w:noProof/>
                <w:webHidden/>
              </w:rPr>
              <w:fldChar w:fldCharType="end"/>
            </w:r>
          </w:hyperlink>
        </w:p>
        <w:p w14:paraId="17BF6286" w14:textId="0A640BD8" w:rsidR="00772E78" w:rsidRDefault="00BE4B13">
          <w:pPr>
            <w:pStyle w:val="TOC3"/>
            <w:tabs>
              <w:tab w:val="right" w:leader="dot" w:pos="9061"/>
            </w:tabs>
            <w:rPr>
              <w:noProof/>
              <w:sz w:val="22"/>
              <w:szCs w:val="22"/>
              <w:lang w:eastAsia="lv-LV"/>
            </w:rPr>
          </w:pPr>
          <w:hyperlink w:anchor="_Toc15480935" w:history="1">
            <w:r w:rsidR="00772E78" w:rsidRPr="00925194">
              <w:rPr>
                <w:rStyle w:val="Hyperlink"/>
                <w:rFonts w:ascii="Times New Roman" w:hAnsi="Times New Roman" w:cs="Times New Roman"/>
                <w:b/>
                <w:noProof/>
              </w:rPr>
              <w:t>Nedzīvojamo ēku būvniecības apakšnozare</w:t>
            </w:r>
            <w:r w:rsidR="00772E78">
              <w:rPr>
                <w:noProof/>
                <w:webHidden/>
              </w:rPr>
              <w:tab/>
            </w:r>
            <w:r w:rsidR="00772E78">
              <w:rPr>
                <w:noProof/>
                <w:webHidden/>
              </w:rPr>
              <w:fldChar w:fldCharType="begin"/>
            </w:r>
            <w:r w:rsidR="00772E78">
              <w:rPr>
                <w:noProof/>
                <w:webHidden/>
              </w:rPr>
              <w:instrText xml:space="preserve"> PAGEREF _Toc15480935 \h </w:instrText>
            </w:r>
            <w:r w:rsidR="00772E78">
              <w:rPr>
                <w:noProof/>
                <w:webHidden/>
              </w:rPr>
            </w:r>
            <w:r w:rsidR="00772E78">
              <w:rPr>
                <w:noProof/>
                <w:webHidden/>
              </w:rPr>
              <w:fldChar w:fldCharType="separate"/>
            </w:r>
            <w:r w:rsidR="00402A5C">
              <w:rPr>
                <w:noProof/>
                <w:webHidden/>
              </w:rPr>
              <w:t>16</w:t>
            </w:r>
            <w:r w:rsidR="00772E78">
              <w:rPr>
                <w:noProof/>
                <w:webHidden/>
              </w:rPr>
              <w:fldChar w:fldCharType="end"/>
            </w:r>
          </w:hyperlink>
        </w:p>
        <w:p w14:paraId="243374AA" w14:textId="673A4922" w:rsidR="00772E78" w:rsidRDefault="00BE4B13">
          <w:pPr>
            <w:pStyle w:val="TOC3"/>
            <w:tabs>
              <w:tab w:val="right" w:leader="dot" w:pos="9061"/>
            </w:tabs>
            <w:rPr>
              <w:noProof/>
              <w:sz w:val="22"/>
              <w:szCs w:val="22"/>
              <w:lang w:eastAsia="lv-LV"/>
            </w:rPr>
          </w:pPr>
          <w:hyperlink w:anchor="_Toc15480936" w:history="1">
            <w:r w:rsidR="00772E78" w:rsidRPr="00925194">
              <w:rPr>
                <w:rStyle w:val="Hyperlink"/>
                <w:rFonts w:ascii="Times New Roman" w:hAnsi="Times New Roman" w:cs="Times New Roman"/>
                <w:b/>
                <w:noProof/>
              </w:rPr>
              <w:t>Transportbūvju</w:t>
            </w:r>
            <w:r w:rsidR="00772E78" w:rsidRPr="00925194">
              <w:rPr>
                <w:rStyle w:val="Hyperlink"/>
                <w:rFonts w:ascii="Times New Roman" w:hAnsi="Times New Roman" w:cs="Times New Roman"/>
                <w:noProof/>
              </w:rPr>
              <w:t xml:space="preserve"> </w:t>
            </w:r>
            <w:r w:rsidR="00772E78" w:rsidRPr="00925194">
              <w:rPr>
                <w:rStyle w:val="Hyperlink"/>
                <w:rFonts w:ascii="Times New Roman" w:hAnsi="Times New Roman" w:cs="Times New Roman"/>
                <w:b/>
                <w:noProof/>
              </w:rPr>
              <w:t>būvniecības apakšnozare</w:t>
            </w:r>
            <w:r w:rsidR="00772E78">
              <w:rPr>
                <w:noProof/>
                <w:webHidden/>
              </w:rPr>
              <w:tab/>
            </w:r>
            <w:r w:rsidR="00772E78">
              <w:rPr>
                <w:noProof/>
                <w:webHidden/>
              </w:rPr>
              <w:fldChar w:fldCharType="begin"/>
            </w:r>
            <w:r w:rsidR="00772E78">
              <w:rPr>
                <w:noProof/>
                <w:webHidden/>
              </w:rPr>
              <w:instrText xml:space="preserve"> PAGEREF _Toc15480936 \h </w:instrText>
            </w:r>
            <w:r w:rsidR="00772E78">
              <w:rPr>
                <w:noProof/>
                <w:webHidden/>
              </w:rPr>
            </w:r>
            <w:r w:rsidR="00772E78">
              <w:rPr>
                <w:noProof/>
                <w:webHidden/>
              </w:rPr>
              <w:fldChar w:fldCharType="separate"/>
            </w:r>
            <w:r w:rsidR="00402A5C">
              <w:rPr>
                <w:noProof/>
                <w:webHidden/>
              </w:rPr>
              <w:t>17</w:t>
            </w:r>
            <w:r w:rsidR="00772E78">
              <w:rPr>
                <w:noProof/>
                <w:webHidden/>
              </w:rPr>
              <w:fldChar w:fldCharType="end"/>
            </w:r>
          </w:hyperlink>
        </w:p>
        <w:p w14:paraId="650F6A42" w14:textId="28388CF0" w:rsidR="00772E78" w:rsidRDefault="00BE4B13">
          <w:pPr>
            <w:pStyle w:val="TOC3"/>
            <w:tabs>
              <w:tab w:val="right" w:leader="dot" w:pos="9061"/>
            </w:tabs>
            <w:rPr>
              <w:noProof/>
              <w:sz w:val="22"/>
              <w:szCs w:val="22"/>
              <w:lang w:eastAsia="lv-LV"/>
            </w:rPr>
          </w:pPr>
          <w:hyperlink w:anchor="_Toc15480937" w:history="1">
            <w:r w:rsidR="00772E78" w:rsidRPr="00925194">
              <w:rPr>
                <w:rStyle w:val="Hyperlink"/>
                <w:rFonts w:ascii="Times New Roman" w:hAnsi="Times New Roman"/>
                <w:b/>
                <w:noProof/>
              </w:rPr>
              <w:t>Pilsētas infrastruktūras objektu būvniecība</w:t>
            </w:r>
            <w:r w:rsidR="00772E78">
              <w:rPr>
                <w:noProof/>
                <w:webHidden/>
              </w:rPr>
              <w:tab/>
            </w:r>
            <w:r w:rsidR="00772E78">
              <w:rPr>
                <w:noProof/>
                <w:webHidden/>
              </w:rPr>
              <w:fldChar w:fldCharType="begin"/>
            </w:r>
            <w:r w:rsidR="00772E78">
              <w:rPr>
                <w:noProof/>
                <w:webHidden/>
              </w:rPr>
              <w:instrText xml:space="preserve"> PAGEREF _Toc15480937 \h </w:instrText>
            </w:r>
            <w:r w:rsidR="00772E78">
              <w:rPr>
                <w:noProof/>
                <w:webHidden/>
              </w:rPr>
            </w:r>
            <w:r w:rsidR="00772E78">
              <w:rPr>
                <w:noProof/>
                <w:webHidden/>
              </w:rPr>
              <w:fldChar w:fldCharType="separate"/>
            </w:r>
            <w:r w:rsidR="00402A5C">
              <w:rPr>
                <w:noProof/>
                <w:webHidden/>
              </w:rPr>
              <w:t>18</w:t>
            </w:r>
            <w:r w:rsidR="00772E78">
              <w:rPr>
                <w:noProof/>
                <w:webHidden/>
              </w:rPr>
              <w:fldChar w:fldCharType="end"/>
            </w:r>
          </w:hyperlink>
        </w:p>
        <w:p w14:paraId="1B6C5147" w14:textId="7F55DC75" w:rsidR="00772E78" w:rsidRDefault="00BE4B13">
          <w:pPr>
            <w:pStyle w:val="TOC2"/>
            <w:tabs>
              <w:tab w:val="right" w:leader="dot" w:pos="9061"/>
            </w:tabs>
            <w:rPr>
              <w:noProof/>
              <w:sz w:val="22"/>
              <w:szCs w:val="22"/>
              <w:lang w:eastAsia="lv-LV"/>
            </w:rPr>
          </w:pPr>
          <w:hyperlink w:anchor="_Toc15480938" w:history="1">
            <w:r w:rsidR="00772E78" w:rsidRPr="00925194">
              <w:rPr>
                <w:rStyle w:val="Hyperlink"/>
                <w:rFonts w:ascii="Times New Roman" w:eastAsia="Times New Roman" w:hAnsi="Times New Roman"/>
                <w:b/>
                <w:noProof/>
                <w:bdr w:val="none" w:sz="0" w:space="0" w:color="auto" w:frame="1"/>
                <w:lang w:eastAsia="en-GB"/>
              </w:rPr>
              <w:t>2.2.3. Būvniecības produkcijas kopējās izmaksu izmaiņas pa resursu veidiem un tās ietekmējošie faktori</w:t>
            </w:r>
            <w:r w:rsidR="00772E78">
              <w:rPr>
                <w:noProof/>
                <w:webHidden/>
              </w:rPr>
              <w:tab/>
            </w:r>
            <w:r w:rsidR="00772E78">
              <w:rPr>
                <w:noProof/>
                <w:webHidden/>
              </w:rPr>
              <w:fldChar w:fldCharType="begin"/>
            </w:r>
            <w:r w:rsidR="00772E78">
              <w:rPr>
                <w:noProof/>
                <w:webHidden/>
              </w:rPr>
              <w:instrText xml:space="preserve"> PAGEREF _Toc15480938 \h </w:instrText>
            </w:r>
            <w:r w:rsidR="00772E78">
              <w:rPr>
                <w:noProof/>
                <w:webHidden/>
              </w:rPr>
            </w:r>
            <w:r w:rsidR="00772E78">
              <w:rPr>
                <w:noProof/>
                <w:webHidden/>
              </w:rPr>
              <w:fldChar w:fldCharType="separate"/>
            </w:r>
            <w:r w:rsidR="00402A5C">
              <w:rPr>
                <w:noProof/>
                <w:webHidden/>
              </w:rPr>
              <w:t>19</w:t>
            </w:r>
            <w:r w:rsidR="00772E78">
              <w:rPr>
                <w:noProof/>
                <w:webHidden/>
              </w:rPr>
              <w:fldChar w:fldCharType="end"/>
            </w:r>
          </w:hyperlink>
        </w:p>
        <w:p w14:paraId="2576C877" w14:textId="7ED7DA69" w:rsidR="00772E78" w:rsidRDefault="00BE4B13">
          <w:pPr>
            <w:pStyle w:val="TOC2"/>
            <w:tabs>
              <w:tab w:val="right" w:leader="dot" w:pos="9061"/>
            </w:tabs>
            <w:rPr>
              <w:noProof/>
              <w:sz w:val="22"/>
              <w:szCs w:val="22"/>
              <w:lang w:eastAsia="lv-LV"/>
            </w:rPr>
          </w:pPr>
          <w:hyperlink w:anchor="_Toc15480939" w:history="1">
            <w:r w:rsidR="00772E78" w:rsidRPr="00925194">
              <w:rPr>
                <w:rStyle w:val="Hyperlink"/>
                <w:rFonts w:ascii="Times New Roman" w:hAnsi="Times New Roman" w:cs="Times New Roman"/>
                <w:b/>
                <w:noProof/>
              </w:rPr>
              <w:t>2.2.4. Peļņas norma</w:t>
            </w:r>
            <w:r w:rsidR="00772E78">
              <w:rPr>
                <w:noProof/>
                <w:webHidden/>
              </w:rPr>
              <w:tab/>
            </w:r>
            <w:r w:rsidR="00772E78">
              <w:rPr>
                <w:noProof/>
                <w:webHidden/>
              </w:rPr>
              <w:fldChar w:fldCharType="begin"/>
            </w:r>
            <w:r w:rsidR="00772E78">
              <w:rPr>
                <w:noProof/>
                <w:webHidden/>
              </w:rPr>
              <w:instrText xml:space="preserve"> PAGEREF _Toc15480939 \h </w:instrText>
            </w:r>
            <w:r w:rsidR="00772E78">
              <w:rPr>
                <w:noProof/>
                <w:webHidden/>
              </w:rPr>
            </w:r>
            <w:r w:rsidR="00772E78">
              <w:rPr>
                <w:noProof/>
                <w:webHidden/>
              </w:rPr>
              <w:fldChar w:fldCharType="separate"/>
            </w:r>
            <w:r w:rsidR="00402A5C">
              <w:rPr>
                <w:noProof/>
                <w:webHidden/>
              </w:rPr>
              <w:t>21</w:t>
            </w:r>
            <w:r w:rsidR="00772E78">
              <w:rPr>
                <w:noProof/>
                <w:webHidden/>
              </w:rPr>
              <w:fldChar w:fldCharType="end"/>
            </w:r>
          </w:hyperlink>
        </w:p>
        <w:p w14:paraId="58F5557F" w14:textId="53516D52" w:rsidR="00772E78" w:rsidRDefault="00BE4B13">
          <w:pPr>
            <w:pStyle w:val="TOC2"/>
            <w:tabs>
              <w:tab w:val="right" w:leader="dot" w:pos="9061"/>
            </w:tabs>
            <w:rPr>
              <w:noProof/>
              <w:sz w:val="22"/>
              <w:szCs w:val="22"/>
              <w:lang w:eastAsia="lv-LV"/>
            </w:rPr>
          </w:pPr>
          <w:hyperlink w:anchor="_Toc15480940" w:history="1">
            <w:r w:rsidR="00772E78" w:rsidRPr="00925194">
              <w:rPr>
                <w:rStyle w:val="Hyperlink"/>
                <w:rFonts w:ascii="Times New Roman" w:hAnsi="Times New Roman"/>
                <w:b/>
                <w:noProof/>
              </w:rPr>
              <w:t>2.2.5. Ēnu ekonomikas apkarošanas pasākumu ietekme</w:t>
            </w:r>
            <w:r w:rsidR="00772E78">
              <w:rPr>
                <w:noProof/>
                <w:webHidden/>
              </w:rPr>
              <w:tab/>
            </w:r>
            <w:r w:rsidR="00772E78">
              <w:rPr>
                <w:noProof/>
                <w:webHidden/>
              </w:rPr>
              <w:fldChar w:fldCharType="begin"/>
            </w:r>
            <w:r w:rsidR="00772E78">
              <w:rPr>
                <w:noProof/>
                <w:webHidden/>
              </w:rPr>
              <w:instrText xml:space="preserve"> PAGEREF _Toc15480940 \h </w:instrText>
            </w:r>
            <w:r w:rsidR="00772E78">
              <w:rPr>
                <w:noProof/>
                <w:webHidden/>
              </w:rPr>
            </w:r>
            <w:r w:rsidR="00772E78">
              <w:rPr>
                <w:noProof/>
                <w:webHidden/>
              </w:rPr>
              <w:fldChar w:fldCharType="separate"/>
            </w:r>
            <w:r w:rsidR="00402A5C">
              <w:rPr>
                <w:noProof/>
                <w:webHidden/>
              </w:rPr>
              <w:t>22</w:t>
            </w:r>
            <w:r w:rsidR="00772E78">
              <w:rPr>
                <w:noProof/>
                <w:webHidden/>
              </w:rPr>
              <w:fldChar w:fldCharType="end"/>
            </w:r>
          </w:hyperlink>
        </w:p>
        <w:p w14:paraId="56DDC1ED" w14:textId="0AA0D580" w:rsidR="00772E78" w:rsidRDefault="00BE4B13">
          <w:pPr>
            <w:pStyle w:val="TOC1"/>
            <w:tabs>
              <w:tab w:val="right" w:leader="dot" w:pos="9061"/>
            </w:tabs>
            <w:rPr>
              <w:noProof/>
              <w:sz w:val="22"/>
              <w:szCs w:val="22"/>
              <w:lang w:eastAsia="lv-LV"/>
            </w:rPr>
          </w:pPr>
          <w:hyperlink w:anchor="_Toc15480941" w:history="1">
            <w:r w:rsidR="00772E78" w:rsidRPr="00925194">
              <w:rPr>
                <w:rStyle w:val="Hyperlink"/>
                <w:rFonts w:ascii="Times New Roman" w:hAnsi="Times New Roman"/>
                <w:b/>
                <w:noProof/>
              </w:rPr>
              <w:t>3. Publisko būvdarbu projekti un ieceres no 2017. – 2023.gadam</w:t>
            </w:r>
            <w:r w:rsidR="00772E78">
              <w:rPr>
                <w:noProof/>
                <w:webHidden/>
              </w:rPr>
              <w:tab/>
            </w:r>
            <w:r w:rsidR="00772E78">
              <w:rPr>
                <w:noProof/>
                <w:webHidden/>
              </w:rPr>
              <w:fldChar w:fldCharType="begin"/>
            </w:r>
            <w:r w:rsidR="00772E78">
              <w:rPr>
                <w:noProof/>
                <w:webHidden/>
              </w:rPr>
              <w:instrText xml:space="preserve"> PAGEREF _Toc15480941 \h </w:instrText>
            </w:r>
            <w:r w:rsidR="00772E78">
              <w:rPr>
                <w:noProof/>
                <w:webHidden/>
              </w:rPr>
            </w:r>
            <w:r w:rsidR="00772E78">
              <w:rPr>
                <w:noProof/>
                <w:webHidden/>
              </w:rPr>
              <w:fldChar w:fldCharType="separate"/>
            </w:r>
            <w:r w:rsidR="00402A5C">
              <w:rPr>
                <w:noProof/>
                <w:webHidden/>
              </w:rPr>
              <w:t>23</w:t>
            </w:r>
            <w:r w:rsidR="00772E78">
              <w:rPr>
                <w:noProof/>
                <w:webHidden/>
              </w:rPr>
              <w:fldChar w:fldCharType="end"/>
            </w:r>
          </w:hyperlink>
        </w:p>
        <w:p w14:paraId="1465844E" w14:textId="30849034" w:rsidR="00772E78" w:rsidRDefault="00BE4B13">
          <w:pPr>
            <w:pStyle w:val="TOC1"/>
            <w:tabs>
              <w:tab w:val="right" w:leader="dot" w:pos="9061"/>
            </w:tabs>
            <w:rPr>
              <w:noProof/>
              <w:sz w:val="22"/>
              <w:szCs w:val="22"/>
              <w:lang w:eastAsia="lv-LV"/>
            </w:rPr>
          </w:pPr>
          <w:hyperlink w:anchor="_Toc15480942" w:history="1">
            <w:r w:rsidR="00772E78" w:rsidRPr="00925194">
              <w:rPr>
                <w:rStyle w:val="Hyperlink"/>
                <w:rFonts w:ascii="Times New Roman" w:hAnsi="Times New Roman" w:cs="Times New Roman"/>
                <w:b/>
                <w:noProof/>
              </w:rPr>
              <w:t xml:space="preserve">Pielikums Nr.1. </w:t>
            </w:r>
            <w:r w:rsidR="00772E78" w:rsidRPr="00925194">
              <w:rPr>
                <w:rStyle w:val="Hyperlink"/>
                <w:rFonts w:ascii="Times New Roman" w:hAnsi="Times New Roman"/>
                <w:b/>
                <w:noProof/>
                <w:shd w:val="clear" w:color="auto" w:fill="FFFFFF"/>
              </w:rPr>
              <w:t>Pētījumā “</w:t>
            </w:r>
            <w:r w:rsidR="00772E78" w:rsidRPr="00925194">
              <w:rPr>
                <w:rStyle w:val="Hyperlink"/>
                <w:rFonts w:ascii="Times New Roman" w:hAnsi="Times New Roman"/>
                <w:b/>
                <w:noProof/>
              </w:rPr>
              <w:t>Par prognozētām izmaiņām darbaspēka un būvmateriālu izmaksās būvniecības nozarē Latvijā” izmantotās pētījumu metodes un izziņas avoti</w:t>
            </w:r>
            <w:r w:rsidR="00772E78">
              <w:rPr>
                <w:noProof/>
                <w:webHidden/>
              </w:rPr>
              <w:tab/>
            </w:r>
            <w:r w:rsidR="00772E78">
              <w:rPr>
                <w:noProof/>
                <w:webHidden/>
              </w:rPr>
              <w:fldChar w:fldCharType="begin"/>
            </w:r>
            <w:r w:rsidR="00772E78">
              <w:rPr>
                <w:noProof/>
                <w:webHidden/>
              </w:rPr>
              <w:instrText xml:space="preserve"> PAGEREF _Toc15480942 \h </w:instrText>
            </w:r>
            <w:r w:rsidR="00772E78">
              <w:rPr>
                <w:noProof/>
                <w:webHidden/>
              </w:rPr>
            </w:r>
            <w:r w:rsidR="00772E78">
              <w:rPr>
                <w:noProof/>
                <w:webHidden/>
              </w:rPr>
              <w:fldChar w:fldCharType="separate"/>
            </w:r>
            <w:r w:rsidR="00402A5C">
              <w:rPr>
                <w:noProof/>
                <w:webHidden/>
              </w:rPr>
              <w:t>26</w:t>
            </w:r>
            <w:r w:rsidR="00772E78">
              <w:rPr>
                <w:noProof/>
                <w:webHidden/>
              </w:rPr>
              <w:fldChar w:fldCharType="end"/>
            </w:r>
          </w:hyperlink>
        </w:p>
        <w:p w14:paraId="1B9C5121" w14:textId="2C950BB1" w:rsidR="0043103F" w:rsidRPr="008B159C" w:rsidRDefault="0043103F">
          <w:pPr>
            <w:rPr>
              <w:rFonts w:ascii="Times New Roman" w:hAnsi="Times New Roman" w:cs="Times New Roman"/>
              <w:sz w:val="24"/>
              <w:szCs w:val="24"/>
            </w:rPr>
          </w:pPr>
          <w:r w:rsidRPr="00B75742">
            <w:rPr>
              <w:rFonts w:ascii="Times New Roman" w:hAnsi="Times New Roman" w:cs="Times New Roman"/>
              <w:b/>
              <w:bCs/>
              <w:sz w:val="28"/>
              <w:szCs w:val="28"/>
            </w:rPr>
            <w:fldChar w:fldCharType="end"/>
          </w:r>
        </w:p>
      </w:sdtContent>
    </w:sdt>
    <w:p w14:paraId="72764CAC" w14:textId="605E93D4" w:rsidR="0037693D" w:rsidRPr="00B75742" w:rsidRDefault="008B159C" w:rsidP="008B159C">
      <w:pPr>
        <w:pStyle w:val="Heading1"/>
        <w:jc w:val="left"/>
        <w:rPr>
          <w:b w:val="0"/>
          <w:sz w:val="28"/>
          <w:szCs w:val="28"/>
        </w:rPr>
      </w:pPr>
      <w:bookmarkStart w:id="1" w:name="_Toc15480921"/>
      <w:r w:rsidRPr="00B75742">
        <w:rPr>
          <w:b w:val="0"/>
          <w:sz w:val="28"/>
          <w:szCs w:val="28"/>
        </w:rPr>
        <w:t>Ziņojumā lietotie saīsinājumi</w:t>
      </w:r>
      <w:bookmarkEnd w:id="1"/>
    </w:p>
    <w:p w14:paraId="44864ADC" w14:textId="2EDD5CA7" w:rsidR="00956A3B" w:rsidRPr="00B75742" w:rsidRDefault="00956A3B" w:rsidP="00BB3CA9">
      <w:pPr>
        <w:spacing w:after="0"/>
        <w:rPr>
          <w:rFonts w:ascii="Times New Roman" w:hAnsi="Times New Roman"/>
          <w:sz w:val="28"/>
          <w:szCs w:val="28"/>
        </w:rPr>
      </w:pPr>
      <w:r w:rsidRPr="00B75742">
        <w:rPr>
          <w:rFonts w:ascii="Times New Roman" w:hAnsi="Times New Roman"/>
          <w:sz w:val="28"/>
          <w:szCs w:val="28"/>
        </w:rPr>
        <w:t xml:space="preserve">CFLA - Centrālo finanšu un līgumu aģentūru </w:t>
      </w:r>
    </w:p>
    <w:p w14:paraId="00EA5FAC" w14:textId="3985AEAA" w:rsidR="0095733A" w:rsidRPr="00B75742" w:rsidRDefault="00BB3CA9" w:rsidP="00BB3CA9">
      <w:pPr>
        <w:spacing w:after="0"/>
        <w:rPr>
          <w:rFonts w:ascii="Times New Roman" w:hAnsi="Times New Roman"/>
          <w:sz w:val="28"/>
          <w:szCs w:val="28"/>
        </w:rPr>
      </w:pPr>
      <w:r w:rsidRPr="00B75742">
        <w:rPr>
          <w:rFonts w:ascii="Times New Roman" w:hAnsi="Times New Roman"/>
          <w:sz w:val="28"/>
          <w:szCs w:val="28"/>
        </w:rPr>
        <w:t xml:space="preserve">CSP </w:t>
      </w:r>
      <w:r w:rsidR="00956A3B" w:rsidRPr="00B75742">
        <w:rPr>
          <w:rFonts w:ascii="Times New Roman" w:hAnsi="Times New Roman"/>
          <w:sz w:val="28"/>
          <w:szCs w:val="28"/>
        </w:rPr>
        <w:t>–</w:t>
      </w:r>
      <w:r w:rsidRPr="00B75742">
        <w:rPr>
          <w:rFonts w:ascii="Times New Roman" w:hAnsi="Times New Roman"/>
          <w:sz w:val="28"/>
          <w:szCs w:val="28"/>
        </w:rPr>
        <w:t xml:space="preserve"> </w:t>
      </w:r>
      <w:r w:rsidR="00B75742" w:rsidRPr="00B75742">
        <w:rPr>
          <w:rFonts w:ascii="Times New Roman" w:hAnsi="Times New Roman"/>
          <w:sz w:val="28"/>
          <w:szCs w:val="28"/>
        </w:rPr>
        <w:t>Centrālā Statistikas pārvalde</w:t>
      </w:r>
    </w:p>
    <w:p w14:paraId="1C34A1F9" w14:textId="77F3EFC6" w:rsidR="00956A3B" w:rsidRPr="00B75742" w:rsidRDefault="00956A3B" w:rsidP="00BB3CA9">
      <w:pPr>
        <w:spacing w:after="0"/>
        <w:rPr>
          <w:rFonts w:ascii="Times New Roman" w:hAnsi="Times New Roman"/>
          <w:sz w:val="28"/>
          <w:szCs w:val="28"/>
        </w:rPr>
      </w:pPr>
      <w:r w:rsidRPr="00B75742">
        <w:rPr>
          <w:rFonts w:ascii="Times New Roman" w:hAnsi="Times New Roman"/>
          <w:sz w:val="28"/>
          <w:szCs w:val="28"/>
        </w:rPr>
        <w:t xml:space="preserve">EM – </w:t>
      </w:r>
      <w:r w:rsidR="00B75742" w:rsidRPr="00B75742">
        <w:rPr>
          <w:rFonts w:ascii="Times New Roman" w:hAnsi="Times New Roman"/>
          <w:sz w:val="28"/>
          <w:szCs w:val="28"/>
        </w:rPr>
        <w:t>Ekonomikas ministrija</w:t>
      </w:r>
    </w:p>
    <w:p w14:paraId="28F1E530" w14:textId="1AEF5EB8" w:rsidR="00956A3B" w:rsidRPr="00B75742" w:rsidRDefault="00956A3B" w:rsidP="00BB3CA9">
      <w:pPr>
        <w:spacing w:after="0"/>
        <w:rPr>
          <w:rFonts w:ascii="Times New Roman" w:hAnsi="Times New Roman"/>
          <w:sz w:val="28"/>
          <w:szCs w:val="28"/>
        </w:rPr>
      </w:pPr>
      <w:r w:rsidRPr="00B75742">
        <w:rPr>
          <w:rFonts w:ascii="Times New Roman" w:hAnsi="Times New Roman"/>
          <w:sz w:val="28"/>
          <w:szCs w:val="28"/>
        </w:rPr>
        <w:t xml:space="preserve">ES </w:t>
      </w:r>
      <w:r w:rsidR="00B75742" w:rsidRPr="00B75742">
        <w:rPr>
          <w:rFonts w:ascii="Times New Roman" w:hAnsi="Times New Roman"/>
          <w:sz w:val="28"/>
          <w:szCs w:val="28"/>
        </w:rPr>
        <w:t>–</w:t>
      </w:r>
      <w:r w:rsidRPr="00B75742">
        <w:rPr>
          <w:rFonts w:ascii="Times New Roman" w:hAnsi="Times New Roman"/>
          <w:sz w:val="28"/>
          <w:szCs w:val="28"/>
        </w:rPr>
        <w:t xml:space="preserve"> </w:t>
      </w:r>
      <w:r w:rsidR="00B75742" w:rsidRPr="00B75742">
        <w:rPr>
          <w:rFonts w:ascii="Times New Roman" w:hAnsi="Times New Roman"/>
          <w:sz w:val="28"/>
          <w:szCs w:val="28"/>
        </w:rPr>
        <w:t>Eiropas Savienība</w:t>
      </w:r>
    </w:p>
    <w:p w14:paraId="35201ECE" w14:textId="25625241" w:rsidR="00956A3B" w:rsidRPr="00B75742" w:rsidRDefault="00956A3B" w:rsidP="00BB3CA9">
      <w:pPr>
        <w:spacing w:after="0"/>
        <w:rPr>
          <w:rFonts w:ascii="Times New Roman" w:hAnsi="Times New Roman"/>
          <w:sz w:val="28"/>
          <w:szCs w:val="28"/>
        </w:rPr>
      </w:pPr>
      <w:r w:rsidRPr="00B75742">
        <w:rPr>
          <w:rFonts w:ascii="Times New Roman" w:hAnsi="Times New Roman"/>
          <w:sz w:val="28"/>
          <w:szCs w:val="28"/>
        </w:rPr>
        <w:t xml:space="preserve">MK – </w:t>
      </w:r>
      <w:r w:rsidR="00B75742" w:rsidRPr="00B75742">
        <w:rPr>
          <w:rFonts w:ascii="Times New Roman" w:hAnsi="Times New Roman"/>
          <w:sz w:val="28"/>
          <w:szCs w:val="28"/>
        </w:rPr>
        <w:t>Ministru kabinets</w:t>
      </w:r>
    </w:p>
    <w:p w14:paraId="3E0780AF" w14:textId="0520D852" w:rsidR="00B75742" w:rsidRPr="00B75742" w:rsidRDefault="00956A3B" w:rsidP="00BB3CA9">
      <w:pPr>
        <w:spacing w:after="0"/>
        <w:rPr>
          <w:rFonts w:ascii="Times New Roman" w:hAnsi="Times New Roman"/>
          <w:sz w:val="28"/>
          <w:szCs w:val="28"/>
        </w:rPr>
      </w:pPr>
      <w:r w:rsidRPr="00B75742">
        <w:rPr>
          <w:rFonts w:ascii="Times New Roman" w:hAnsi="Times New Roman"/>
          <w:sz w:val="28"/>
          <w:szCs w:val="28"/>
        </w:rPr>
        <w:t xml:space="preserve">VID </w:t>
      </w:r>
      <w:r w:rsidR="00B75742" w:rsidRPr="00B75742">
        <w:rPr>
          <w:rFonts w:ascii="Times New Roman" w:hAnsi="Times New Roman"/>
          <w:sz w:val="28"/>
          <w:szCs w:val="28"/>
        </w:rPr>
        <w:t>–</w:t>
      </w:r>
      <w:r w:rsidRPr="00B75742">
        <w:rPr>
          <w:rFonts w:ascii="Times New Roman" w:hAnsi="Times New Roman"/>
          <w:sz w:val="28"/>
          <w:szCs w:val="28"/>
        </w:rPr>
        <w:t xml:space="preserve"> </w:t>
      </w:r>
      <w:r w:rsidR="00B75742" w:rsidRPr="00B75742">
        <w:rPr>
          <w:rFonts w:ascii="Times New Roman" w:hAnsi="Times New Roman"/>
          <w:sz w:val="28"/>
          <w:szCs w:val="28"/>
        </w:rPr>
        <w:t>Valsts ieņēmumu dienests</w:t>
      </w:r>
    </w:p>
    <w:p w14:paraId="14EEC5E1" w14:textId="00945FF7" w:rsidR="00956A3B" w:rsidRPr="00B75742" w:rsidRDefault="00B75742" w:rsidP="00B75742">
      <w:pPr>
        <w:rPr>
          <w:rFonts w:ascii="Times New Roman" w:hAnsi="Times New Roman"/>
          <w:sz w:val="24"/>
          <w:szCs w:val="24"/>
        </w:rPr>
      </w:pPr>
      <w:r>
        <w:rPr>
          <w:rFonts w:ascii="Times New Roman" w:hAnsi="Times New Roman"/>
          <w:sz w:val="24"/>
          <w:szCs w:val="24"/>
        </w:rPr>
        <w:br w:type="page"/>
      </w:r>
    </w:p>
    <w:p w14:paraId="2DFB536D" w14:textId="7D85BA07" w:rsidR="004D1CA7" w:rsidRPr="00F0398B" w:rsidRDefault="008A2560" w:rsidP="00F0398B">
      <w:pPr>
        <w:pStyle w:val="Heading1"/>
      </w:pPr>
      <w:bookmarkStart w:id="2" w:name="_Toc15480922"/>
      <w:bookmarkStart w:id="3" w:name="_Hlk15461698"/>
      <w:r w:rsidRPr="00F0398B">
        <w:lastRenderedPageBreak/>
        <w:t>1</w:t>
      </w:r>
      <w:r w:rsidR="004D1CA7" w:rsidRPr="00F0398B">
        <w:t xml:space="preserve">. Būvniecības nozares </w:t>
      </w:r>
      <w:r w:rsidRPr="00F0398B">
        <w:t xml:space="preserve">attīstības </w:t>
      </w:r>
      <w:r w:rsidR="004D1CA7" w:rsidRPr="00F0398B">
        <w:t>novērtējums un ietekme uz tautsaimniecību</w:t>
      </w:r>
      <w:bookmarkEnd w:id="2"/>
    </w:p>
    <w:p w14:paraId="336816A0" w14:textId="77777777" w:rsidR="00402A5C" w:rsidRPr="00570EE9" w:rsidRDefault="00402A5C" w:rsidP="00402A5C">
      <w:pPr>
        <w:spacing w:after="120" w:line="276" w:lineRule="auto"/>
        <w:ind w:firstLine="720"/>
        <w:jc w:val="both"/>
        <w:rPr>
          <w:rFonts w:ascii="Times New Roman" w:hAnsi="Times New Roman" w:cs="Times New Roman"/>
          <w:sz w:val="28"/>
          <w:szCs w:val="28"/>
        </w:rPr>
      </w:pPr>
      <w:bookmarkStart w:id="4" w:name="_Toc15480923"/>
      <w:bookmarkEnd w:id="3"/>
      <w:r w:rsidRPr="00570EE9">
        <w:rPr>
          <w:rFonts w:ascii="Times New Roman" w:hAnsi="Times New Roman" w:cs="Times New Roman"/>
          <w:bCs/>
          <w:sz w:val="28"/>
          <w:szCs w:val="28"/>
        </w:rPr>
        <w:t>Būvniecības</w:t>
      </w:r>
      <w:r w:rsidRPr="00570EE9">
        <w:rPr>
          <w:rFonts w:ascii="Times New Roman" w:hAnsi="Times New Roman" w:cs="Times New Roman"/>
          <w:sz w:val="28"/>
          <w:szCs w:val="28"/>
        </w:rPr>
        <w:t xml:space="preserve"> nozares izaugsme ir lielā mērā pakļauta cikliskām svārstībām. Produkcijas apjomi dramatiski samazinājās krīzes laikā, nozares izlaide laika periodā no 2008.-2010.gadam saruka vairāk nekā 2 reizes. Pieprasījums pēc nozares pakalpojumiem atsāka pieaugt 2011.gadā. Būvniecības nozares atveseļošanos lielā mērā noteica ES struktūrfondu aktīvāka apguve. Līdztekus iekšējā pieprasījuma pieaugumam nozares attīstību pozitīvi ietekmēja spēja krīzes laikā pārorientēties uz ārējiem tirgiem. Vidējais būvniecības produkcijas apjoma ikgadējais pieaugums </w:t>
      </w:r>
      <w:proofErr w:type="spellStart"/>
      <w:r w:rsidRPr="00570EE9">
        <w:rPr>
          <w:rFonts w:ascii="Times New Roman" w:hAnsi="Times New Roman" w:cs="Times New Roman"/>
          <w:sz w:val="28"/>
          <w:szCs w:val="28"/>
        </w:rPr>
        <w:t>pēckrīzes</w:t>
      </w:r>
      <w:proofErr w:type="spellEnd"/>
      <w:r w:rsidRPr="00570EE9">
        <w:rPr>
          <w:rFonts w:ascii="Times New Roman" w:hAnsi="Times New Roman" w:cs="Times New Roman"/>
          <w:sz w:val="28"/>
          <w:szCs w:val="28"/>
        </w:rPr>
        <w:t xml:space="preserve"> periodā no 2011.-2014.gadam bija 11,2%. Jāatzīmē, ka vēl netika sasniegts </w:t>
      </w:r>
      <w:proofErr w:type="spellStart"/>
      <w:r w:rsidRPr="00570EE9">
        <w:rPr>
          <w:rFonts w:ascii="Times New Roman" w:hAnsi="Times New Roman" w:cs="Times New Roman"/>
          <w:sz w:val="28"/>
          <w:szCs w:val="28"/>
        </w:rPr>
        <w:t>pirmskrīzes</w:t>
      </w:r>
      <w:proofErr w:type="spellEnd"/>
      <w:r w:rsidRPr="00570EE9">
        <w:rPr>
          <w:rFonts w:ascii="Times New Roman" w:hAnsi="Times New Roman" w:cs="Times New Roman"/>
          <w:sz w:val="28"/>
          <w:szCs w:val="28"/>
        </w:rPr>
        <w:t xml:space="preserve"> apjoms, nozare 2014. gadā veidoja tikai 70% no </w:t>
      </w:r>
      <w:proofErr w:type="spellStart"/>
      <w:r w:rsidRPr="00570EE9">
        <w:rPr>
          <w:rFonts w:ascii="Times New Roman" w:hAnsi="Times New Roman" w:cs="Times New Roman"/>
          <w:sz w:val="28"/>
          <w:szCs w:val="28"/>
        </w:rPr>
        <w:t>pirmskrīzes</w:t>
      </w:r>
      <w:proofErr w:type="spellEnd"/>
      <w:r w:rsidRPr="00570EE9">
        <w:rPr>
          <w:rFonts w:ascii="Times New Roman" w:hAnsi="Times New Roman" w:cs="Times New Roman"/>
          <w:sz w:val="28"/>
          <w:szCs w:val="28"/>
        </w:rPr>
        <w:t xml:space="preserve"> līmeņa. Samazinoties ES struktūrfondu pieejamajam finansējumam, 2015. un 2016.gadā būvniecības nozares attīstība apstājās. 2015.-2016.gadā būvniecības produkcijas apjomi vidēji saruka par 8,6% ik gadu. Būvniecības aktivitāte saruka visās grupās, visstraujāk inženierbūvju grupā. </w:t>
      </w:r>
    </w:p>
    <w:p w14:paraId="3B38CBAC" w14:textId="77777777" w:rsidR="00402A5C" w:rsidRPr="00114AC8" w:rsidRDefault="00402A5C" w:rsidP="00402A5C">
      <w:pPr>
        <w:spacing w:before="120"/>
        <w:ind w:firstLine="720"/>
        <w:jc w:val="both"/>
        <w:rPr>
          <w:rFonts w:ascii="Times New Roman" w:hAnsi="Times New Roman" w:cs="Times New Roman"/>
          <w:sz w:val="28"/>
          <w:szCs w:val="28"/>
        </w:rPr>
      </w:pPr>
      <w:r w:rsidRPr="00114AC8">
        <w:rPr>
          <w:rFonts w:ascii="Times New Roman" w:hAnsi="Times New Roman" w:cs="Times New Roman"/>
          <w:sz w:val="28"/>
          <w:szCs w:val="28"/>
        </w:rPr>
        <w:t xml:space="preserve">Atsākoties ES struktūrfondu finansējumam, kopš 2017.gada būvniecības nozare attīstās ļoti strauji. 2017.gadā tā pieauga par 19,4%, bet 2018.gadā – par 21,9%. Būvniecības apjomi 2018.gadā pieauga visās būvniecības </w:t>
      </w:r>
      <w:proofErr w:type="spellStart"/>
      <w:r w:rsidRPr="00114AC8">
        <w:rPr>
          <w:rFonts w:ascii="Times New Roman" w:hAnsi="Times New Roman" w:cs="Times New Roman"/>
          <w:sz w:val="28"/>
          <w:szCs w:val="28"/>
        </w:rPr>
        <w:t>pamatgrupās</w:t>
      </w:r>
      <w:proofErr w:type="spellEnd"/>
      <w:r w:rsidRPr="00114AC8">
        <w:rPr>
          <w:rFonts w:ascii="Times New Roman" w:hAnsi="Times New Roman" w:cs="Times New Roman"/>
          <w:sz w:val="28"/>
          <w:szCs w:val="28"/>
        </w:rPr>
        <w:t xml:space="preserve">, straujākais pieauguma temps bija vērojams ēku būvniecībā un specializēto būvdarbu jomā. Nozares izaugsmi sekmē ne tikai ES finansējuma pieejamība, bet arī privātās investīcijas. </w:t>
      </w:r>
    </w:p>
    <w:p w14:paraId="0CEA4D45" w14:textId="77777777" w:rsidR="00402A5C" w:rsidRPr="00114AC8" w:rsidRDefault="00402A5C" w:rsidP="00402A5C">
      <w:pPr>
        <w:spacing w:after="120" w:line="276" w:lineRule="auto"/>
        <w:ind w:firstLine="720"/>
        <w:jc w:val="both"/>
        <w:rPr>
          <w:rFonts w:ascii="Times New Roman" w:hAnsi="Times New Roman" w:cs="Times New Roman"/>
          <w:sz w:val="28"/>
          <w:szCs w:val="28"/>
        </w:rPr>
      </w:pPr>
      <w:r w:rsidRPr="00114AC8">
        <w:rPr>
          <w:rFonts w:ascii="Times New Roman" w:hAnsi="Times New Roman" w:cs="Times New Roman"/>
          <w:sz w:val="28"/>
          <w:szCs w:val="28"/>
        </w:rPr>
        <w:t>Periodā pirms krīzes būvniecības nozare aktīvi piesaistīja darbiniekus. 2005.-2007.gados nodarbināto skaits pieauga par gandrīz 30 tūkst</w:t>
      </w:r>
      <w:r>
        <w:rPr>
          <w:rFonts w:ascii="Times New Roman" w:hAnsi="Times New Roman" w:cs="Times New Roman"/>
          <w:sz w:val="28"/>
          <w:szCs w:val="28"/>
        </w:rPr>
        <w:t>ošiem</w:t>
      </w:r>
      <w:r w:rsidRPr="00114AC8">
        <w:rPr>
          <w:rFonts w:ascii="Times New Roman" w:hAnsi="Times New Roman" w:cs="Times New Roman"/>
          <w:sz w:val="28"/>
          <w:szCs w:val="28"/>
        </w:rPr>
        <w:t>, sasniedzot 91,7 tūkstoš</w:t>
      </w:r>
      <w:r>
        <w:rPr>
          <w:rFonts w:ascii="Times New Roman" w:hAnsi="Times New Roman" w:cs="Times New Roman"/>
          <w:sz w:val="28"/>
          <w:szCs w:val="28"/>
        </w:rPr>
        <w:t>u</w:t>
      </w:r>
      <w:r w:rsidRPr="00114AC8">
        <w:rPr>
          <w:rFonts w:ascii="Times New Roman" w:hAnsi="Times New Roman" w:cs="Times New Roman"/>
          <w:sz w:val="28"/>
          <w:szCs w:val="28"/>
        </w:rPr>
        <w:t xml:space="preserve">s. Nozarē nodarbināto skaits ekonomiskās lejupslīdes laikā tika pakļauts nozīmīgai korekcijai, samazinoties gandrīz 2 reizes. Nodarbināto skaits vienmērīgi palielinājās laika periodā no 2011. -2014.gadam. Samazinājums atkal bija vērojams 2015.-2017. gadā. Kopš 2018.gada būvniecības nozarē ir atsākusies darbinieku piesaiste. 2018.gadā nodarbināto skaits bija 74,6 tūkst. t.i. par 30% lielāks nekā 2010. gadā, taču pieauguma temps bija būtiski lēnāks par produkcijas pieaugumu. </w:t>
      </w:r>
      <w:r w:rsidRPr="008A2560">
        <w:rPr>
          <w:rFonts w:ascii="Times New Roman" w:hAnsi="Times New Roman" w:cs="Times New Roman"/>
          <w:b/>
          <w:sz w:val="28"/>
          <w:szCs w:val="28"/>
        </w:rPr>
        <w:t>Tas nozīmē, ka nozare lielā mērā attīstījās uz produktivitātes pieauguma rēķina.</w:t>
      </w:r>
      <w:r w:rsidRPr="00114AC8">
        <w:rPr>
          <w:rFonts w:ascii="Times New Roman" w:hAnsi="Times New Roman" w:cs="Times New Roman"/>
          <w:sz w:val="28"/>
          <w:szCs w:val="28"/>
        </w:rPr>
        <w:t xml:space="preserve"> Līdzīgi, kā citās nozarēs, arī būvniecībā uzņēmēji saskaras ar darbaspēka trūkumu.</w:t>
      </w:r>
    </w:p>
    <w:p w14:paraId="13A303FF" w14:textId="77777777" w:rsidR="00402A5C" w:rsidRPr="00E01461" w:rsidRDefault="00402A5C" w:rsidP="00402A5C">
      <w:pPr>
        <w:spacing w:after="120" w:line="276" w:lineRule="auto"/>
        <w:ind w:firstLine="720"/>
        <w:jc w:val="both"/>
        <w:rPr>
          <w:rFonts w:ascii="Times New Roman" w:hAnsi="Times New Roman" w:cs="Times New Roman"/>
          <w:sz w:val="28"/>
          <w:szCs w:val="28"/>
        </w:rPr>
      </w:pPr>
      <w:r w:rsidRPr="00114AC8">
        <w:rPr>
          <w:rFonts w:ascii="Times New Roman" w:hAnsi="Times New Roman" w:cs="Times New Roman"/>
          <w:sz w:val="28"/>
          <w:szCs w:val="28"/>
        </w:rPr>
        <w:t xml:space="preserve">Pēdējo divu gadu nozares attīstība ir ietekmējusi būvnieku sniegto pakalpojumu cenas. Būvniecības izmaksu indekss 2017. un 2018.gadā pieauga straujāk nekā iepriekšējos gados. Analizējot būvniecības izmaksu pieaugumu, </w:t>
      </w:r>
      <w:r w:rsidRPr="00114AC8">
        <w:rPr>
          <w:rFonts w:ascii="Times New Roman" w:hAnsi="Times New Roman" w:cs="Times New Roman"/>
          <w:sz w:val="28"/>
          <w:szCs w:val="28"/>
        </w:rPr>
        <w:lastRenderedPageBreak/>
        <w:t>jāsecina, ka lielāko spiedienu uz izmaksām rada strādnieku darba samaksa. Tā, kopējais būvniecības izmaksu indekss pēdējos divos gados (2017. un 2018.g</w:t>
      </w:r>
      <w:r>
        <w:rPr>
          <w:rFonts w:ascii="Times New Roman" w:hAnsi="Times New Roman" w:cs="Times New Roman"/>
          <w:sz w:val="28"/>
          <w:szCs w:val="28"/>
        </w:rPr>
        <w:t>adā</w:t>
      </w:r>
      <w:r w:rsidRPr="00114AC8">
        <w:rPr>
          <w:rFonts w:ascii="Times New Roman" w:hAnsi="Times New Roman" w:cs="Times New Roman"/>
          <w:sz w:val="28"/>
          <w:szCs w:val="28"/>
        </w:rPr>
        <w:t xml:space="preserve">) kumulatīvi ir pieaudzis par 6,4%, kamēr strādnieku darba samaksa – par 13,2%. </w:t>
      </w:r>
      <w:proofErr w:type="spellStart"/>
      <w:r w:rsidRPr="00114AC8">
        <w:rPr>
          <w:rFonts w:ascii="Times New Roman" w:hAnsi="Times New Roman" w:cs="Times New Roman"/>
          <w:sz w:val="28"/>
          <w:szCs w:val="28"/>
        </w:rPr>
        <w:t>Pirmskrīzes</w:t>
      </w:r>
      <w:proofErr w:type="spellEnd"/>
      <w:r w:rsidRPr="00114AC8">
        <w:rPr>
          <w:rFonts w:ascii="Times New Roman" w:hAnsi="Times New Roman" w:cs="Times New Roman"/>
          <w:sz w:val="28"/>
          <w:szCs w:val="28"/>
        </w:rPr>
        <w:t xml:space="preserve"> gados gan būvniecības indekss, gan strādnieku darba samaksa pieauga daudz straujāk nekā tas ir pašreiz. Vidēji gadā (2005.-2007.g.) būvniecības indekss pieauga par 19,5%, darba samaksa – par 35,3%, kamēr 2018.gadā tas pieauga, attiecīgi, par 4,4% un 8,3%. </w:t>
      </w:r>
      <w:r>
        <w:rPr>
          <w:rFonts w:ascii="Times New Roman" w:hAnsi="Times New Roman" w:cs="Times New Roman"/>
          <w:sz w:val="28"/>
          <w:szCs w:val="28"/>
        </w:rPr>
        <w:t xml:space="preserve">Izmaksu pieaugumu ietekmē arī valdības īstenotie </w:t>
      </w:r>
      <w:r w:rsidRPr="00E01461">
        <w:rPr>
          <w:rFonts w:ascii="Times New Roman" w:hAnsi="Times New Roman" w:cs="Times New Roman"/>
          <w:sz w:val="28"/>
          <w:szCs w:val="28"/>
        </w:rPr>
        <w:t>ēnu ekonomikas apkarošanas pasākum</w:t>
      </w:r>
      <w:r>
        <w:rPr>
          <w:rFonts w:ascii="Times New Roman" w:hAnsi="Times New Roman" w:cs="Times New Roman"/>
          <w:sz w:val="28"/>
          <w:szCs w:val="28"/>
        </w:rPr>
        <w:t xml:space="preserve">i, kas vislielāko iespaidu atstāj </w:t>
      </w:r>
      <w:r w:rsidRPr="00E01461">
        <w:rPr>
          <w:rFonts w:ascii="Times New Roman" w:hAnsi="Times New Roman" w:cs="Times New Roman"/>
          <w:sz w:val="28"/>
          <w:szCs w:val="28"/>
        </w:rPr>
        <w:t>uz darbaspēka izmaksu izmaiņām</w:t>
      </w:r>
      <w:r>
        <w:rPr>
          <w:rFonts w:ascii="Times New Roman" w:hAnsi="Times New Roman" w:cs="Times New Roman"/>
          <w:sz w:val="28"/>
          <w:szCs w:val="28"/>
        </w:rPr>
        <w:t xml:space="preserve">. Izmaksas </w:t>
      </w:r>
      <w:r w:rsidRPr="00E01461">
        <w:rPr>
          <w:rFonts w:ascii="Times New Roman" w:hAnsi="Times New Roman" w:cs="Times New Roman"/>
          <w:sz w:val="28"/>
          <w:szCs w:val="28"/>
        </w:rPr>
        <w:t>visvairāk ietekmē divi ēnu ekonomikas apkarošanas pasākumi: elektroniskās darba laika uzskaites sistēmas pilna ieviešana, t.sk. datu nodošana VID un minimālā atalgojuma līmeņa noteikšana būvniecības nozarē, izmantojot ģenerālvienošanos.</w:t>
      </w:r>
    </w:p>
    <w:p w14:paraId="6FDCFC64" w14:textId="77777777" w:rsidR="00402A5C" w:rsidRPr="00114AC8" w:rsidRDefault="00402A5C" w:rsidP="00402A5C">
      <w:pPr>
        <w:spacing w:after="120" w:line="276" w:lineRule="auto"/>
        <w:ind w:firstLine="720"/>
        <w:jc w:val="both"/>
        <w:rPr>
          <w:rFonts w:ascii="Times New Roman" w:hAnsi="Times New Roman" w:cs="Times New Roman"/>
          <w:sz w:val="28"/>
          <w:szCs w:val="28"/>
        </w:rPr>
      </w:pPr>
      <w:r w:rsidRPr="00114AC8">
        <w:rPr>
          <w:rFonts w:ascii="Times New Roman" w:hAnsi="Times New Roman" w:cs="Times New Roman"/>
          <w:sz w:val="28"/>
          <w:szCs w:val="28"/>
        </w:rPr>
        <w:t xml:space="preserve">Pašreiz būvniecības izmaksu kopējais pieaugums ir tuvs cenu pārmaiņu vidējam līmenim tautsaimniecībā. Savukārt, bruto darba alga būvniecībā pēdējos divos gados (2017. un 2018.g.) kumulatīvi ir augusi par 14,7%, kamēr darba alga vidēji tautsaimniecībā – par 16,9%. Straujāk šajā laikā darba alga pieauga inženierbūvniecībā – par 19%. Ēku </w:t>
      </w:r>
      <w:r>
        <w:rPr>
          <w:rFonts w:ascii="Times New Roman" w:hAnsi="Times New Roman" w:cs="Times New Roman"/>
          <w:sz w:val="28"/>
          <w:szCs w:val="28"/>
        </w:rPr>
        <w:t>būvniecībā</w:t>
      </w:r>
      <w:r w:rsidRPr="00114AC8">
        <w:rPr>
          <w:rFonts w:ascii="Times New Roman" w:hAnsi="Times New Roman" w:cs="Times New Roman"/>
          <w:sz w:val="28"/>
          <w:szCs w:val="28"/>
        </w:rPr>
        <w:t xml:space="preserve"> – par 9,3%, bet specializētos būvdarbos – par 14,9%. </w:t>
      </w:r>
    </w:p>
    <w:p w14:paraId="0BCB6F5C" w14:textId="77777777" w:rsidR="00402A5C" w:rsidRPr="00114AC8" w:rsidRDefault="00402A5C" w:rsidP="00402A5C">
      <w:pPr>
        <w:spacing w:before="120"/>
        <w:ind w:firstLine="720"/>
        <w:jc w:val="both"/>
        <w:rPr>
          <w:rFonts w:ascii="Times New Roman" w:hAnsi="Times New Roman" w:cs="Times New Roman"/>
          <w:sz w:val="28"/>
          <w:szCs w:val="28"/>
        </w:rPr>
      </w:pPr>
      <w:r w:rsidRPr="00114AC8">
        <w:rPr>
          <w:rFonts w:ascii="Times New Roman" w:hAnsi="Times New Roman" w:cs="Times New Roman"/>
          <w:sz w:val="28"/>
          <w:szCs w:val="28"/>
        </w:rPr>
        <w:t xml:space="preserve">Paredzams, ka 2019. un 2020.gadā nozare turpinās pieaugt, saglabājoties pietiekami augstai ES struktūrfondu projektu ieviešanas un privāto investīciju intensitātei, tomēr tie būs krietni lēnāki nekā 2018.gadā. Pieauguma tempu samazināšanās bija vērojama 2019.gada 1.ceturksnī, kad nozare pieauga par 7,4%, lēnāk nekā iepriekšējos ceturkšņos. Var sagaidīt, ka turpinās augt arī darba spēka izmaksas, tomēr līdzīgi kā izlaide, tā pieaugs lēnākos tempos nekā tas bija iepriekš. </w:t>
      </w:r>
    </w:p>
    <w:p w14:paraId="167BC69C" w14:textId="77777777" w:rsidR="00402A5C" w:rsidRPr="008676AF" w:rsidRDefault="00402A5C" w:rsidP="00402A5C">
      <w:pPr>
        <w:ind w:firstLine="720"/>
        <w:jc w:val="both"/>
        <w:rPr>
          <w:rFonts w:ascii="Times New Roman" w:hAnsi="Times New Roman" w:cs="Times New Roman"/>
          <w:sz w:val="28"/>
          <w:szCs w:val="28"/>
        </w:rPr>
      </w:pPr>
      <w:r w:rsidRPr="00114AC8">
        <w:rPr>
          <w:rFonts w:ascii="Times New Roman" w:hAnsi="Times New Roman" w:cs="Times New Roman"/>
          <w:color w:val="2A2A2A"/>
          <w:sz w:val="28"/>
          <w:szCs w:val="28"/>
          <w:lang w:eastAsia="lv-LV"/>
        </w:rPr>
        <w:t>Mājokļu tirgu burbuļi ir daudzu finanšu krīžu cēlonis.</w:t>
      </w:r>
      <w:r w:rsidRPr="00114AC8">
        <w:rPr>
          <w:rFonts w:ascii="Times New Roman" w:hAnsi="Times New Roman" w:cs="Times New Roman"/>
          <w:sz w:val="28"/>
          <w:szCs w:val="28"/>
        </w:rPr>
        <w:t xml:space="preserve"> Daudzas valstis, tai </w:t>
      </w:r>
      <w:r w:rsidRPr="008676AF">
        <w:rPr>
          <w:rFonts w:ascii="Times New Roman" w:hAnsi="Times New Roman" w:cs="Times New Roman"/>
          <w:sz w:val="28"/>
          <w:szCs w:val="28"/>
        </w:rPr>
        <w:t xml:space="preserve">skaitā Latvija, kuras piedzīvoja uzplaukumu nekustamā īpašuma un kredītu tirgos, pēdējo desmitgadu laikā ir cietušas no finanšu krīzes un smaga IKP sarukuma. </w:t>
      </w:r>
    </w:p>
    <w:p w14:paraId="257F0C44" w14:textId="77777777" w:rsidR="00402A5C" w:rsidRPr="008676AF" w:rsidRDefault="00402A5C" w:rsidP="00402A5C">
      <w:pPr>
        <w:ind w:firstLine="720"/>
        <w:jc w:val="both"/>
        <w:rPr>
          <w:rFonts w:ascii="Times New Roman" w:hAnsi="Times New Roman" w:cs="Times New Roman"/>
          <w:sz w:val="28"/>
          <w:szCs w:val="28"/>
          <w:lang w:eastAsia="lv-LV"/>
        </w:rPr>
      </w:pPr>
      <w:r w:rsidRPr="008676AF">
        <w:rPr>
          <w:rFonts w:ascii="Times New Roman" w:hAnsi="Times New Roman" w:cs="Times New Roman"/>
          <w:sz w:val="28"/>
          <w:szCs w:val="28"/>
        </w:rPr>
        <w:t xml:space="preserve">Pēdējos trijos gados mājokļu tirgus, kas bija sarucis </w:t>
      </w:r>
      <w:proofErr w:type="spellStart"/>
      <w:r w:rsidRPr="008676AF">
        <w:rPr>
          <w:rFonts w:ascii="Times New Roman" w:hAnsi="Times New Roman" w:cs="Times New Roman"/>
          <w:sz w:val="28"/>
          <w:szCs w:val="28"/>
        </w:rPr>
        <w:t>pēckrīzes</w:t>
      </w:r>
      <w:proofErr w:type="spellEnd"/>
      <w:r w:rsidRPr="008676AF">
        <w:rPr>
          <w:rFonts w:ascii="Times New Roman" w:hAnsi="Times New Roman" w:cs="Times New Roman"/>
          <w:sz w:val="28"/>
          <w:szCs w:val="28"/>
        </w:rPr>
        <w:t xml:space="preserve"> periodā, uzrāda atveseļošanos un cenu indekss vidēji pārsniedz 8% gadā pret iepriekšējo gadu. Mājokļa cenu indekss, kas atspoguļo iedzīvotāju iegādāto mājokļu cenu pārmaiņas brīvajā tirgū un aptver visus mājokļu pirkumus neatkarīgi no īpašuma iegādes mērķa, 2017.gadā attiecībā pret iepriekšējo gadu audzis par 8.8%, 2018.gadā par 9.6%. CSP dati rāda, ka pamatā tiek iegādāti lietoti mājokļi, kas pēdējos gados stabili turas 84% līmenī no kopējā tirgus apjoma. Lietotu mājokļu </w:t>
      </w:r>
      <w:r w:rsidRPr="008676AF">
        <w:rPr>
          <w:rFonts w:ascii="Times New Roman" w:hAnsi="Times New Roman" w:cs="Times New Roman"/>
          <w:sz w:val="28"/>
          <w:szCs w:val="28"/>
        </w:rPr>
        <w:lastRenderedPageBreak/>
        <w:t>cenas 2018.gadā augušas straujāk - 10.2%, kamēr jaunajiem mājokļiem tikai – 6.1%, šāda tendence turpinās arī 2019.gadā.</w:t>
      </w:r>
    </w:p>
    <w:p w14:paraId="16064C05" w14:textId="77777777" w:rsidR="00402A5C" w:rsidRDefault="00402A5C" w:rsidP="00402A5C">
      <w:pPr>
        <w:ind w:firstLine="720"/>
        <w:jc w:val="both"/>
        <w:rPr>
          <w:rFonts w:ascii="Times New Roman" w:hAnsi="Times New Roman" w:cs="Times New Roman"/>
          <w:sz w:val="28"/>
          <w:szCs w:val="28"/>
        </w:rPr>
      </w:pPr>
      <w:r w:rsidRPr="008676AF">
        <w:rPr>
          <w:rFonts w:ascii="Times New Roman" w:hAnsi="Times New Roman" w:cs="Times New Roman"/>
          <w:sz w:val="28"/>
          <w:szCs w:val="28"/>
        </w:rPr>
        <w:t>Jau laikus atklāt makroekonomiskās disproporcijas t.sk. pārkāršanas draudus palīdz ES izveidotā makroekonomikas</w:t>
      </w:r>
      <w:r w:rsidRPr="00114AC8">
        <w:rPr>
          <w:rFonts w:ascii="Times New Roman" w:hAnsi="Times New Roman" w:cs="Times New Roman"/>
          <w:sz w:val="28"/>
          <w:szCs w:val="28"/>
        </w:rPr>
        <w:t xml:space="preserve"> nelīdzsvarotības novēršanas procedūra. Tās ietvaros ir izveidots rādītāju makroekonomisko nelīdzsvarotību raksturojošs rādītāju saraksts un katram rādītājam noteiktas robežvērtības (sliekšņi), kurus pārkāpjot tiek signalizēts par makroekonomisko nelīdzsvarotību. Cita starpā, viens no šī saraksta rādītājiem ir mājokļu cena (</w:t>
      </w:r>
      <w:proofErr w:type="spellStart"/>
      <w:r w:rsidRPr="00114AC8">
        <w:rPr>
          <w:rFonts w:ascii="Times New Roman" w:hAnsi="Times New Roman" w:cs="Times New Roman"/>
          <w:sz w:val="28"/>
          <w:szCs w:val="28"/>
        </w:rPr>
        <w:t>deflēta</w:t>
      </w:r>
      <w:proofErr w:type="spellEnd"/>
      <w:r w:rsidRPr="00114AC8">
        <w:rPr>
          <w:rFonts w:ascii="Times New Roman" w:hAnsi="Times New Roman" w:cs="Times New Roman"/>
          <w:sz w:val="28"/>
          <w:szCs w:val="28"/>
        </w:rPr>
        <w:t>)</w:t>
      </w:r>
      <w:r w:rsidRPr="00114AC8">
        <w:rPr>
          <w:rStyle w:val="FootnoteReference"/>
          <w:rFonts w:ascii="Times New Roman" w:hAnsi="Times New Roman"/>
          <w:bCs/>
          <w:sz w:val="28"/>
          <w:szCs w:val="28"/>
        </w:rPr>
        <w:footnoteReference w:id="2"/>
      </w:r>
      <w:r w:rsidRPr="00114AC8">
        <w:rPr>
          <w:rFonts w:ascii="Times New Roman" w:hAnsi="Times New Roman" w:cs="Times New Roman"/>
          <w:sz w:val="28"/>
          <w:szCs w:val="28"/>
        </w:rPr>
        <w:t xml:space="preserve">, kurai noteiktais slieksnis ir 6% izmaiņas gada laikā. Pēdējos gados Latvija svārstās ap minēto slieksni. </w:t>
      </w:r>
      <w:proofErr w:type="spellStart"/>
      <w:r w:rsidRPr="00114AC8">
        <w:rPr>
          <w:rFonts w:ascii="Times New Roman" w:hAnsi="Times New Roman" w:cs="Times New Roman"/>
          <w:sz w:val="28"/>
          <w:szCs w:val="28"/>
        </w:rPr>
        <w:t>Pēckrīzes</w:t>
      </w:r>
      <w:proofErr w:type="spellEnd"/>
      <w:r w:rsidRPr="00114AC8">
        <w:rPr>
          <w:rFonts w:ascii="Times New Roman" w:hAnsi="Times New Roman" w:cs="Times New Roman"/>
          <w:sz w:val="28"/>
          <w:szCs w:val="28"/>
        </w:rPr>
        <w:t xml:space="preserve"> periodā 2013., 2016. un 2018.gadā slieksnis tika pārsniegts. 2018.gadā tas bija 6,6%. Tomēr, salīdzinot ar </w:t>
      </w:r>
      <w:proofErr w:type="spellStart"/>
      <w:r w:rsidRPr="00114AC8">
        <w:rPr>
          <w:rFonts w:ascii="Times New Roman" w:hAnsi="Times New Roman" w:cs="Times New Roman"/>
          <w:sz w:val="28"/>
          <w:szCs w:val="28"/>
        </w:rPr>
        <w:t>pirmskrīzes</w:t>
      </w:r>
      <w:proofErr w:type="spellEnd"/>
      <w:r w:rsidRPr="00114AC8">
        <w:rPr>
          <w:rFonts w:ascii="Times New Roman" w:hAnsi="Times New Roman" w:cs="Times New Roman"/>
          <w:sz w:val="28"/>
          <w:szCs w:val="28"/>
        </w:rPr>
        <w:t xml:space="preserve"> periodu, kad tas vairākus gadus bija </w:t>
      </w:r>
      <w:proofErr w:type="spellStart"/>
      <w:r w:rsidRPr="00114AC8">
        <w:rPr>
          <w:rFonts w:ascii="Times New Roman" w:hAnsi="Times New Roman" w:cs="Times New Roman"/>
          <w:sz w:val="28"/>
          <w:szCs w:val="28"/>
        </w:rPr>
        <w:t>divciparu</w:t>
      </w:r>
      <w:proofErr w:type="spellEnd"/>
      <w:r w:rsidRPr="00114AC8">
        <w:rPr>
          <w:rFonts w:ascii="Times New Roman" w:hAnsi="Times New Roman" w:cs="Times New Roman"/>
          <w:sz w:val="28"/>
          <w:szCs w:val="28"/>
        </w:rPr>
        <w:t xml:space="preserve"> līmenī (piemēram, 2006.g. – 41,1%), šobrīd situācija nav kritiska</w:t>
      </w:r>
      <w:r>
        <w:rPr>
          <w:rFonts w:ascii="Times New Roman" w:hAnsi="Times New Roman" w:cs="Times New Roman"/>
          <w:sz w:val="28"/>
          <w:szCs w:val="28"/>
        </w:rPr>
        <w:t xml:space="preserve">. To uzrāda arī Finanšu un kapitāla tirgus komisijas ceturkšņa pārskati, jo saskaņā ar tiem hipotekāro kredītu apjoms mājsaimniecībām 2018.gadā ir krities par 8%, salīdzinājumā ar 2015.gadu, kad tas sastādīja 4 494 </w:t>
      </w:r>
      <w:proofErr w:type="spellStart"/>
      <w:r>
        <w:rPr>
          <w:rFonts w:ascii="Times New Roman" w:hAnsi="Times New Roman" w:cs="Times New Roman"/>
          <w:sz w:val="28"/>
          <w:szCs w:val="28"/>
        </w:rPr>
        <w:t>milj.</w:t>
      </w:r>
      <w:r>
        <w:rPr>
          <w:rFonts w:ascii="Times New Roman" w:hAnsi="Times New Roman" w:cs="Times New Roman"/>
          <w:i/>
          <w:iCs/>
          <w:sz w:val="28"/>
          <w:szCs w:val="28"/>
        </w:rPr>
        <w:t>euro</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w:t>
      </w:r>
    </w:p>
    <w:p w14:paraId="0A9F21F4" w14:textId="77777777" w:rsidR="00402A5C" w:rsidRPr="00713431" w:rsidRDefault="00402A5C" w:rsidP="00402A5C">
      <w:pPr>
        <w:jc w:val="center"/>
        <w:rPr>
          <w:rFonts w:ascii="Times New Roman" w:hAnsi="Times New Roman" w:cs="Times New Roman"/>
          <w:b/>
          <w:bCs/>
          <w:sz w:val="24"/>
          <w:szCs w:val="24"/>
        </w:rPr>
      </w:pPr>
      <w:r w:rsidRPr="00713431">
        <w:rPr>
          <w:rFonts w:ascii="Times New Roman" w:hAnsi="Times New Roman" w:cs="Times New Roman"/>
          <w:b/>
          <w:bCs/>
          <w:sz w:val="24"/>
          <w:szCs w:val="24"/>
        </w:rPr>
        <w:t>Būvniecību raksturojošie rādītāji</w:t>
      </w:r>
    </w:p>
    <w:tbl>
      <w:tblPr>
        <w:tblStyle w:val="TableGrid"/>
        <w:tblW w:w="0" w:type="auto"/>
        <w:tblLook w:val="04A0" w:firstRow="1" w:lastRow="0" w:firstColumn="1" w:lastColumn="0" w:noHBand="0" w:noVBand="1"/>
      </w:tblPr>
      <w:tblGrid>
        <w:gridCol w:w="3139"/>
        <w:gridCol w:w="1456"/>
        <w:gridCol w:w="1456"/>
        <w:gridCol w:w="1456"/>
        <w:gridCol w:w="1456"/>
      </w:tblGrid>
      <w:tr w:rsidR="00402A5C" w:rsidRPr="00713431" w14:paraId="5EEE5D07" w14:textId="77777777" w:rsidTr="00B0795E">
        <w:tc>
          <w:tcPr>
            <w:tcW w:w="3139" w:type="dxa"/>
          </w:tcPr>
          <w:p w14:paraId="15E641B8" w14:textId="77777777" w:rsidR="00402A5C" w:rsidRPr="00483671" w:rsidRDefault="00402A5C" w:rsidP="00B0795E">
            <w:pPr>
              <w:spacing w:before="60" w:after="60"/>
              <w:rPr>
                <w:rFonts w:ascii="Times New Roman" w:hAnsi="Times New Roman" w:cs="Times New Roman"/>
                <w:sz w:val="20"/>
                <w:szCs w:val="20"/>
              </w:rPr>
            </w:pPr>
          </w:p>
        </w:tc>
        <w:tc>
          <w:tcPr>
            <w:tcW w:w="1456" w:type="dxa"/>
          </w:tcPr>
          <w:p w14:paraId="3D73EC89" w14:textId="77777777" w:rsidR="00402A5C" w:rsidRPr="00483671" w:rsidRDefault="00402A5C" w:rsidP="00B0795E">
            <w:pPr>
              <w:spacing w:before="60" w:after="60"/>
              <w:jc w:val="center"/>
              <w:rPr>
                <w:rFonts w:ascii="Times New Roman" w:hAnsi="Times New Roman" w:cs="Times New Roman"/>
                <w:b/>
                <w:bCs/>
                <w:sz w:val="20"/>
                <w:szCs w:val="20"/>
              </w:rPr>
            </w:pPr>
            <w:r w:rsidRPr="00483671">
              <w:rPr>
                <w:rFonts w:ascii="Times New Roman" w:hAnsi="Times New Roman" w:cs="Times New Roman"/>
                <w:b/>
                <w:bCs/>
                <w:sz w:val="20"/>
                <w:szCs w:val="20"/>
              </w:rPr>
              <w:t>2015</w:t>
            </w:r>
          </w:p>
        </w:tc>
        <w:tc>
          <w:tcPr>
            <w:tcW w:w="1456" w:type="dxa"/>
          </w:tcPr>
          <w:p w14:paraId="2346228E" w14:textId="77777777" w:rsidR="00402A5C" w:rsidRPr="00483671" w:rsidRDefault="00402A5C" w:rsidP="00B0795E">
            <w:pPr>
              <w:spacing w:before="60" w:after="60"/>
              <w:jc w:val="center"/>
              <w:rPr>
                <w:rFonts w:ascii="Times New Roman" w:hAnsi="Times New Roman" w:cs="Times New Roman"/>
                <w:b/>
                <w:bCs/>
                <w:sz w:val="20"/>
                <w:szCs w:val="20"/>
              </w:rPr>
            </w:pPr>
            <w:r w:rsidRPr="00483671">
              <w:rPr>
                <w:rFonts w:ascii="Times New Roman" w:hAnsi="Times New Roman" w:cs="Times New Roman"/>
                <w:b/>
                <w:bCs/>
                <w:sz w:val="20"/>
                <w:szCs w:val="20"/>
              </w:rPr>
              <w:t>2016</w:t>
            </w:r>
          </w:p>
        </w:tc>
        <w:tc>
          <w:tcPr>
            <w:tcW w:w="1456" w:type="dxa"/>
          </w:tcPr>
          <w:p w14:paraId="54A872CF" w14:textId="77777777" w:rsidR="00402A5C" w:rsidRPr="00483671" w:rsidRDefault="00402A5C" w:rsidP="00B0795E">
            <w:pPr>
              <w:spacing w:before="60" w:after="60"/>
              <w:jc w:val="center"/>
              <w:rPr>
                <w:rFonts w:ascii="Times New Roman" w:hAnsi="Times New Roman" w:cs="Times New Roman"/>
                <w:b/>
                <w:bCs/>
                <w:sz w:val="20"/>
                <w:szCs w:val="20"/>
              </w:rPr>
            </w:pPr>
            <w:r w:rsidRPr="00483671">
              <w:rPr>
                <w:rFonts w:ascii="Times New Roman" w:hAnsi="Times New Roman" w:cs="Times New Roman"/>
                <w:b/>
                <w:bCs/>
                <w:sz w:val="20"/>
                <w:szCs w:val="20"/>
              </w:rPr>
              <w:t>2017</w:t>
            </w:r>
          </w:p>
        </w:tc>
        <w:tc>
          <w:tcPr>
            <w:tcW w:w="1456" w:type="dxa"/>
          </w:tcPr>
          <w:p w14:paraId="5D494524" w14:textId="77777777" w:rsidR="00402A5C" w:rsidRPr="00483671" w:rsidRDefault="00402A5C" w:rsidP="00B0795E">
            <w:pPr>
              <w:spacing w:before="60" w:after="60"/>
              <w:jc w:val="center"/>
              <w:rPr>
                <w:rFonts w:ascii="Times New Roman" w:hAnsi="Times New Roman" w:cs="Times New Roman"/>
                <w:b/>
                <w:bCs/>
                <w:sz w:val="20"/>
                <w:szCs w:val="20"/>
              </w:rPr>
            </w:pPr>
            <w:r w:rsidRPr="00483671">
              <w:rPr>
                <w:rFonts w:ascii="Times New Roman" w:hAnsi="Times New Roman" w:cs="Times New Roman"/>
                <w:b/>
                <w:bCs/>
                <w:sz w:val="20"/>
                <w:szCs w:val="20"/>
              </w:rPr>
              <w:t>2018</w:t>
            </w:r>
          </w:p>
        </w:tc>
      </w:tr>
      <w:tr w:rsidR="00402A5C" w:rsidRPr="003F54CF" w14:paraId="7E4E3837" w14:textId="77777777" w:rsidTr="00B0795E">
        <w:tc>
          <w:tcPr>
            <w:tcW w:w="3139" w:type="dxa"/>
          </w:tcPr>
          <w:p w14:paraId="7973C568"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Bruto darba alga būvniecībā (% no tautsaimniecības vidējā)</w:t>
            </w:r>
          </w:p>
        </w:tc>
        <w:tc>
          <w:tcPr>
            <w:tcW w:w="1456" w:type="dxa"/>
            <w:vAlign w:val="bottom"/>
          </w:tcPr>
          <w:p w14:paraId="69692E40"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96,3</w:t>
            </w:r>
          </w:p>
        </w:tc>
        <w:tc>
          <w:tcPr>
            <w:tcW w:w="1456" w:type="dxa"/>
            <w:vAlign w:val="bottom"/>
          </w:tcPr>
          <w:p w14:paraId="032036AE"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96,4</w:t>
            </w:r>
          </w:p>
        </w:tc>
        <w:tc>
          <w:tcPr>
            <w:tcW w:w="1456" w:type="dxa"/>
            <w:vAlign w:val="bottom"/>
          </w:tcPr>
          <w:p w14:paraId="05DE5422"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95,1</w:t>
            </w:r>
          </w:p>
        </w:tc>
        <w:tc>
          <w:tcPr>
            <w:tcW w:w="1456" w:type="dxa"/>
            <w:vAlign w:val="bottom"/>
          </w:tcPr>
          <w:p w14:paraId="3D4E4231"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94,6</w:t>
            </w:r>
          </w:p>
        </w:tc>
      </w:tr>
      <w:tr w:rsidR="00402A5C" w:rsidRPr="003F54CF" w14:paraId="697562D6" w14:textId="77777777" w:rsidTr="00B0795E">
        <w:tc>
          <w:tcPr>
            <w:tcW w:w="3139" w:type="dxa"/>
          </w:tcPr>
          <w:p w14:paraId="19CF9284"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Bruto darba algu pieaugums būvniecībā (2015=100)</w:t>
            </w:r>
          </w:p>
        </w:tc>
        <w:tc>
          <w:tcPr>
            <w:tcW w:w="1456" w:type="dxa"/>
            <w:vAlign w:val="bottom"/>
          </w:tcPr>
          <w:p w14:paraId="4B34813C"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w:t>
            </w:r>
          </w:p>
        </w:tc>
        <w:tc>
          <w:tcPr>
            <w:tcW w:w="1456" w:type="dxa"/>
            <w:vAlign w:val="bottom"/>
          </w:tcPr>
          <w:p w14:paraId="384EA5E0"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105,1</w:t>
            </w:r>
          </w:p>
        </w:tc>
        <w:tc>
          <w:tcPr>
            <w:tcW w:w="1456" w:type="dxa"/>
            <w:vAlign w:val="bottom"/>
          </w:tcPr>
          <w:p w14:paraId="3C3E5C5D"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111,8</w:t>
            </w:r>
          </w:p>
        </w:tc>
        <w:tc>
          <w:tcPr>
            <w:tcW w:w="1456" w:type="dxa"/>
            <w:vAlign w:val="bottom"/>
          </w:tcPr>
          <w:p w14:paraId="3F6A3B65"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120,6</w:t>
            </w:r>
          </w:p>
        </w:tc>
      </w:tr>
      <w:tr w:rsidR="00402A5C" w:rsidRPr="003F54CF" w14:paraId="57E9F6C2" w14:textId="77777777" w:rsidTr="00B0795E">
        <w:tc>
          <w:tcPr>
            <w:tcW w:w="3139" w:type="dxa"/>
          </w:tcPr>
          <w:p w14:paraId="575DA114"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Bruto darba algu pieaugums tautsaimniecībā vidēji (2015=100)</w:t>
            </w:r>
          </w:p>
        </w:tc>
        <w:tc>
          <w:tcPr>
            <w:tcW w:w="1456" w:type="dxa"/>
            <w:vAlign w:val="bottom"/>
          </w:tcPr>
          <w:p w14:paraId="3DF96757"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w:t>
            </w:r>
          </w:p>
        </w:tc>
        <w:tc>
          <w:tcPr>
            <w:tcW w:w="1456" w:type="dxa"/>
            <w:vAlign w:val="bottom"/>
          </w:tcPr>
          <w:p w14:paraId="23FE3DBD"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105,0</w:t>
            </w:r>
          </w:p>
        </w:tc>
        <w:tc>
          <w:tcPr>
            <w:tcW w:w="1456" w:type="dxa"/>
            <w:vAlign w:val="bottom"/>
          </w:tcPr>
          <w:p w14:paraId="6B9339EC"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113,2</w:t>
            </w:r>
          </w:p>
        </w:tc>
        <w:tc>
          <w:tcPr>
            <w:tcW w:w="1456" w:type="dxa"/>
            <w:vAlign w:val="bottom"/>
          </w:tcPr>
          <w:p w14:paraId="0A2210C4"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122,7</w:t>
            </w:r>
          </w:p>
        </w:tc>
      </w:tr>
      <w:tr w:rsidR="00402A5C" w:rsidRPr="003F54CF" w14:paraId="121E9BF4" w14:textId="77777777" w:rsidTr="00B0795E">
        <w:tc>
          <w:tcPr>
            <w:tcW w:w="3139" w:type="dxa"/>
          </w:tcPr>
          <w:p w14:paraId="45AC5C39"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Nodarbināto skaita pieaugums būvniecībā (2015=100)</w:t>
            </w:r>
          </w:p>
        </w:tc>
        <w:tc>
          <w:tcPr>
            <w:tcW w:w="1456" w:type="dxa"/>
            <w:vAlign w:val="bottom"/>
          </w:tcPr>
          <w:p w14:paraId="005AD831"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w:t>
            </w:r>
          </w:p>
        </w:tc>
        <w:tc>
          <w:tcPr>
            <w:tcW w:w="1456" w:type="dxa"/>
            <w:vAlign w:val="bottom"/>
          </w:tcPr>
          <w:p w14:paraId="38248F57"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91,9</w:t>
            </w:r>
          </w:p>
        </w:tc>
        <w:tc>
          <w:tcPr>
            <w:tcW w:w="1456" w:type="dxa"/>
            <w:vAlign w:val="bottom"/>
          </w:tcPr>
          <w:p w14:paraId="6D9BD7A4"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87,8</w:t>
            </w:r>
          </w:p>
        </w:tc>
        <w:tc>
          <w:tcPr>
            <w:tcW w:w="1456" w:type="dxa"/>
            <w:vAlign w:val="bottom"/>
          </w:tcPr>
          <w:p w14:paraId="0EACB168"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103,8</w:t>
            </w:r>
          </w:p>
        </w:tc>
      </w:tr>
      <w:tr w:rsidR="00402A5C" w:rsidRPr="003F54CF" w14:paraId="7D586BE4" w14:textId="77777777" w:rsidTr="00B0795E">
        <w:tc>
          <w:tcPr>
            <w:tcW w:w="3139" w:type="dxa"/>
          </w:tcPr>
          <w:p w14:paraId="3B51A9D2"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Nodarbināto skaita pieaugums tautsaimniecībā vidēji (2015=100)</w:t>
            </w:r>
          </w:p>
        </w:tc>
        <w:tc>
          <w:tcPr>
            <w:tcW w:w="1456" w:type="dxa"/>
            <w:vAlign w:val="bottom"/>
          </w:tcPr>
          <w:p w14:paraId="46ECB062"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w:t>
            </w:r>
          </w:p>
        </w:tc>
        <w:tc>
          <w:tcPr>
            <w:tcW w:w="1456" w:type="dxa"/>
            <w:vAlign w:val="bottom"/>
          </w:tcPr>
          <w:p w14:paraId="01378A4E"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99.7</w:t>
            </w:r>
          </w:p>
        </w:tc>
        <w:tc>
          <w:tcPr>
            <w:tcW w:w="1456" w:type="dxa"/>
            <w:vAlign w:val="bottom"/>
          </w:tcPr>
          <w:p w14:paraId="4AC178A0"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99,9</w:t>
            </w:r>
          </w:p>
        </w:tc>
        <w:tc>
          <w:tcPr>
            <w:tcW w:w="1456" w:type="dxa"/>
            <w:vAlign w:val="bottom"/>
          </w:tcPr>
          <w:p w14:paraId="7B3D64FE"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101,5</w:t>
            </w:r>
          </w:p>
        </w:tc>
      </w:tr>
      <w:tr w:rsidR="00402A5C" w:rsidRPr="003F54CF" w14:paraId="58A6C9D1" w14:textId="77777777" w:rsidTr="00B0795E">
        <w:tc>
          <w:tcPr>
            <w:tcW w:w="3139" w:type="dxa"/>
          </w:tcPr>
          <w:p w14:paraId="44300157"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Nodarbināto īpatsvars būvniecībā (% no tautsaimniecībā kopumā)</w:t>
            </w:r>
          </w:p>
        </w:tc>
        <w:tc>
          <w:tcPr>
            <w:tcW w:w="1456" w:type="dxa"/>
            <w:vAlign w:val="bottom"/>
          </w:tcPr>
          <w:p w14:paraId="00B035A9"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8,0</w:t>
            </w:r>
          </w:p>
        </w:tc>
        <w:tc>
          <w:tcPr>
            <w:tcW w:w="1456" w:type="dxa"/>
            <w:vAlign w:val="bottom"/>
          </w:tcPr>
          <w:p w14:paraId="030739B6"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7,4</w:t>
            </w:r>
          </w:p>
        </w:tc>
        <w:tc>
          <w:tcPr>
            <w:tcW w:w="1456" w:type="dxa"/>
            <w:vAlign w:val="bottom"/>
          </w:tcPr>
          <w:p w14:paraId="473DC021"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7,1</w:t>
            </w:r>
          </w:p>
        </w:tc>
        <w:tc>
          <w:tcPr>
            <w:tcW w:w="1456" w:type="dxa"/>
            <w:vAlign w:val="bottom"/>
          </w:tcPr>
          <w:p w14:paraId="27007C21"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8,2</w:t>
            </w:r>
          </w:p>
        </w:tc>
      </w:tr>
      <w:tr w:rsidR="00402A5C" w:rsidRPr="003F54CF" w14:paraId="0C75FF12" w14:textId="77777777" w:rsidTr="00B0795E">
        <w:tc>
          <w:tcPr>
            <w:tcW w:w="3139" w:type="dxa"/>
          </w:tcPr>
          <w:p w14:paraId="119929E0"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Pievienotās vērtības pieaugums būvniecībā (2015=100)</w:t>
            </w:r>
          </w:p>
        </w:tc>
        <w:tc>
          <w:tcPr>
            <w:tcW w:w="1456" w:type="dxa"/>
          </w:tcPr>
          <w:p w14:paraId="3BE82CC6"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w:t>
            </w:r>
          </w:p>
        </w:tc>
        <w:tc>
          <w:tcPr>
            <w:tcW w:w="1456" w:type="dxa"/>
          </w:tcPr>
          <w:p w14:paraId="550A7CD3"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85,3</w:t>
            </w:r>
          </w:p>
        </w:tc>
        <w:tc>
          <w:tcPr>
            <w:tcW w:w="1456" w:type="dxa"/>
          </w:tcPr>
          <w:p w14:paraId="0E637CC7"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101,8</w:t>
            </w:r>
          </w:p>
        </w:tc>
        <w:tc>
          <w:tcPr>
            <w:tcW w:w="1456" w:type="dxa"/>
          </w:tcPr>
          <w:p w14:paraId="19B694C5"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124,0</w:t>
            </w:r>
          </w:p>
        </w:tc>
      </w:tr>
      <w:tr w:rsidR="00402A5C" w:rsidRPr="003F54CF" w14:paraId="76D8F27D" w14:textId="77777777" w:rsidTr="00B0795E">
        <w:tc>
          <w:tcPr>
            <w:tcW w:w="3139" w:type="dxa"/>
          </w:tcPr>
          <w:p w14:paraId="25C6FD2E"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IKP pieaugums (2015=100)</w:t>
            </w:r>
          </w:p>
        </w:tc>
        <w:tc>
          <w:tcPr>
            <w:tcW w:w="1456" w:type="dxa"/>
          </w:tcPr>
          <w:p w14:paraId="5DEB848F"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w:t>
            </w:r>
          </w:p>
        </w:tc>
        <w:tc>
          <w:tcPr>
            <w:tcW w:w="1456" w:type="dxa"/>
          </w:tcPr>
          <w:p w14:paraId="2F493A4B"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102,1</w:t>
            </w:r>
          </w:p>
        </w:tc>
        <w:tc>
          <w:tcPr>
            <w:tcW w:w="1456" w:type="dxa"/>
          </w:tcPr>
          <w:p w14:paraId="274E08A5"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106,8</w:t>
            </w:r>
          </w:p>
        </w:tc>
        <w:tc>
          <w:tcPr>
            <w:tcW w:w="1456" w:type="dxa"/>
          </w:tcPr>
          <w:p w14:paraId="77AE5AA9"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111.9</w:t>
            </w:r>
          </w:p>
        </w:tc>
      </w:tr>
      <w:tr w:rsidR="00402A5C" w:rsidRPr="003F54CF" w14:paraId="604FA45F" w14:textId="77777777" w:rsidTr="00B0795E">
        <w:tc>
          <w:tcPr>
            <w:tcW w:w="3139" w:type="dxa"/>
          </w:tcPr>
          <w:p w14:paraId="7BDB913B"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lastRenderedPageBreak/>
              <w:t>Būvniecības izlaide (% no IKP)</w:t>
            </w:r>
          </w:p>
        </w:tc>
        <w:tc>
          <w:tcPr>
            <w:tcW w:w="1456" w:type="dxa"/>
          </w:tcPr>
          <w:p w14:paraId="315F6CF6"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5,7</w:t>
            </w:r>
          </w:p>
        </w:tc>
        <w:tc>
          <w:tcPr>
            <w:tcW w:w="1456" w:type="dxa"/>
          </w:tcPr>
          <w:p w14:paraId="34E3DBD4"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4,7</w:t>
            </w:r>
          </w:p>
        </w:tc>
        <w:tc>
          <w:tcPr>
            <w:tcW w:w="1456" w:type="dxa"/>
          </w:tcPr>
          <w:p w14:paraId="24753247"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5,3</w:t>
            </w:r>
          </w:p>
        </w:tc>
        <w:tc>
          <w:tcPr>
            <w:tcW w:w="1456" w:type="dxa"/>
          </w:tcPr>
          <w:p w14:paraId="3F16949A"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6,2</w:t>
            </w:r>
          </w:p>
        </w:tc>
      </w:tr>
      <w:tr w:rsidR="00402A5C" w:rsidRPr="003F54CF" w14:paraId="71E0E0A8" w14:textId="77777777" w:rsidTr="00B0795E">
        <w:tc>
          <w:tcPr>
            <w:tcW w:w="3139" w:type="dxa"/>
          </w:tcPr>
          <w:p w14:paraId="6A61B4D7"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Produktivitātes pieaugums būvniecībā (2015=100)</w:t>
            </w:r>
          </w:p>
        </w:tc>
        <w:tc>
          <w:tcPr>
            <w:tcW w:w="1456" w:type="dxa"/>
          </w:tcPr>
          <w:p w14:paraId="41637E43" w14:textId="77777777" w:rsidR="00402A5C" w:rsidRPr="00483671" w:rsidRDefault="00402A5C" w:rsidP="00B0795E">
            <w:pPr>
              <w:spacing w:before="60" w:after="60"/>
              <w:jc w:val="center"/>
              <w:rPr>
                <w:rFonts w:ascii="Times New Roman" w:hAnsi="Times New Roman" w:cs="Times New Roman"/>
                <w:sz w:val="20"/>
                <w:szCs w:val="20"/>
              </w:rPr>
            </w:pPr>
          </w:p>
          <w:p w14:paraId="20EFA83C"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w:t>
            </w:r>
          </w:p>
        </w:tc>
        <w:tc>
          <w:tcPr>
            <w:tcW w:w="1456" w:type="dxa"/>
            <w:vAlign w:val="bottom"/>
          </w:tcPr>
          <w:p w14:paraId="2515BBBF"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92,9</w:t>
            </w:r>
          </w:p>
        </w:tc>
        <w:tc>
          <w:tcPr>
            <w:tcW w:w="1456" w:type="dxa"/>
            <w:vAlign w:val="bottom"/>
          </w:tcPr>
          <w:p w14:paraId="4DD05FD5"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117,7</w:t>
            </w:r>
          </w:p>
        </w:tc>
        <w:tc>
          <w:tcPr>
            <w:tcW w:w="1456" w:type="dxa"/>
            <w:vAlign w:val="bottom"/>
          </w:tcPr>
          <w:p w14:paraId="4DF9593A"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126,9</w:t>
            </w:r>
          </w:p>
        </w:tc>
      </w:tr>
      <w:tr w:rsidR="00402A5C" w:rsidRPr="003F54CF" w14:paraId="4A9833C0" w14:textId="77777777" w:rsidTr="00B0795E">
        <w:tc>
          <w:tcPr>
            <w:tcW w:w="3139" w:type="dxa"/>
          </w:tcPr>
          <w:p w14:paraId="5B177E06"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Produktivitātes pieaugums tautsaimniecībā vidēji (2015=100)</w:t>
            </w:r>
          </w:p>
        </w:tc>
        <w:tc>
          <w:tcPr>
            <w:tcW w:w="1456" w:type="dxa"/>
          </w:tcPr>
          <w:p w14:paraId="2F4A82B9" w14:textId="77777777" w:rsidR="00402A5C" w:rsidRPr="00483671" w:rsidRDefault="00402A5C" w:rsidP="00B0795E">
            <w:pPr>
              <w:spacing w:before="60" w:after="60"/>
              <w:jc w:val="center"/>
              <w:rPr>
                <w:rFonts w:ascii="Times New Roman" w:hAnsi="Times New Roman" w:cs="Times New Roman"/>
                <w:sz w:val="20"/>
                <w:szCs w:val="20"/>
              </w:rPr>
            </w:pPr>
          </w:p>
          <w:p w14:paraId="5885C52D"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w:t>
            </w:r>
          </w:p>
        </w:tc>
        <w:tc>
          <w:tcPr>
            <w:tcW w:w="1456" w:type="dxa"/>
            <w:vAlign w:val="bottom"/>
          </w:tcPr>
          <w:p w14:paraId="1EEA449D"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103,3</w:t>
            </w:r>
          </w:p>
        </w:tc>
        <w:tc>
          <w:tcPr>
            <w:tcW w:w="1456" w:type="dxa"/>
            <w:vAlign w:val="bottom"/>
          </w:tcPr>
          <w:p w14:paraId="1C56F8C7"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111,3</w:t>
            </w:r>
          </w:p>
        </w:tc>
        <w:tc>
          <w:tcPr>
            <w:tcW w:w="1456" w:type="dxa"/>
            <w:vAlign w:val="bottom"/>
          </w:tcPr>
          <w:p w14:paraId="4F92B78B"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119,6</w:t>
            </w:r>
          </w:p>
        </w:tc>
      </w:tr>
      <w:tr w:rsidR="00402A5C" w:rsidRPr="003F54CF" w14:paraId="1FAFFFC6" w14:textId="77777777" w:rsidTr="00B0795E">
        <w:tc>
          <w:tcPr>
            <w:tcW w:w="3139" w:type="dxa"/>
          </w:tcPr>
          <w:p w14:paraId="4C0627F0"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Produktivitāte būvniecībā (% no vidējās tautsaimniecībā)</w:t>
            </w:r>
          </w:p>
        </w:tc>
        <w:tc>
          <w:tcPr>
            <w:tcW w:w="1456" w:type="dxa"/>
          </w:tcPr>
          <w:p w14:paraId="2336FE34" w14:textId="77777777" w:rsidR="00402A5C" w:rsidRPr="00483671" w:rsidRDefault="00402A5C" w:rsidP="00B0795E">
            <w:pPr>
              <w:spacing w:before="60" w:after="60"/>
              <w:jc w:val="center"/>
              <w:rPr>
                <w:rFonts w:ascii="Times New Roman" w:hAnsi="Times New Roman" w:cs="Times New Roman"/>
                <w:sz w:val="20"/>
                <w:szCs w:val="20"/>
              </w:rPr>
            </w:pPr>
          </w:p>
          <w:p w14:paraId="0FC2C678"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71,0</w:t>
            </w:r>
          </w:p>
        </w:tc>
        <w:tc>
          <w:tcPr>
            <w:tcW w:w="1456" w:type="dxa"/>
            <w:vAlign w:val="bottom"/>
          </w:tcPr>
          <w:p w14:paraId="3E449833"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63,9</w:t>
            </w:r>
          </w:p>
        </w:tc>
        <w:tc>
          <w:tcPr>
            <w:tcW w:w="1456" w:type="dxa"/>
            <w:vAlign w:val="bottom"/>
          </w:tcPr>
          <w:p w14:paraId="688FB59D"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75,1</w:t>
            </w:r>
          </w:p>
        </w:tc>
        <w:tc>
          <w:tcPr>
            <w:tcW w:w="1456" w:type="dxa"/>
            <w:vAlign w:val="bottom"/>
          </w:tcPr>
          <w:p w14:paraId="6C37471C"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75,1</w:t>
            </w:r>
          </w:p>
        </w:tc>
      </w:tr>
      <w:tr w:rsidR="00402A5C" w:rsidRPr="003F54CF" w14:paraId="0FBF0E79" w14:textId="77777777" w:rsidTr="00B0795E">
        <w:tc>
          <w:tcPr>
            <w:tcW w:w="3139" w:type="dxa"/>
          </w:tcPr>
          <w:p w14:paraId="3DF4197C"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Būvniecības izmaksu indekss (2015=100)</w:t>
            </w:r>
          </w:p>
        </w:tc>
        <w:tc>
          <w:tcPr>
            <w:tcW w:w="1456" w:type="dxa"/>
            <w:vAlign w:val="bottom"/>
          </w:tcPr>
          <w:p w14:paraId="5882799F"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100,0</w:t>
            </w:r>
          </w:p>
        </w:tc>
        <w:tc>
          <w:tcPr>
            <w:tcW w:w="1456" w:type="dxa"/>
            <w:vAlign w:val="bottom"/>
          </w:tcPr>
          <w:p w14:paraId="20809EDB"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99,5</w:t>
            </w:r>
          </w:p>
        </w:tc>
        <w:tc>
          <w:tcPr>
            <w:tcW w:w="1456" w:type="dxa"/>
            <w:vAlign w:val="bottom"/>
          </w:tcPr>
          <w:p w14:paraId="015B0616"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101,4</w:t>
            </w:r>
          </w:p>
        </w:tc>
        <w:tc>
          <w:tcPr>
            <w:tcW w:w="1456" w:type="dxa"/>
            <w:vAlign w:val="bottom"/>
          </w:tcPr>
          <w:p w14:paraId="1C053B42"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105,8</w:t>
            </w:r>
          </w:p>
        </w:tc>
      </w:tr>
      <w:tr w:rsidR="00402A5C" w:rsidRPr="003F54CF" w14:paraId="471D8D2F" w14:textId="77777777" w:rsidTr="00B0795E">
        <w:tc>
          <w:tcPr>
            <w:tcW w:w="3139" w:type="dxa"/>
          </w:tcPr>
          <w:p w14:paraId="2F9AFF7A"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Patēriņa cenu indekss (2015=100)</w:t>
            </w:r>
          </w:p>
        </w:tc>
        <w:tc>
          <w:tcPr>
            <w:tcW w:w="1456" w:type="dxa"/>
            <w:vAlign w:val="bottom"/>
          </w:tcPr>
          <w:p w14:paraId="6847C066"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100,0</w:t>
            </w:r>
          </w:p>
        </w:tc>
        <w:tc>
          <w:tcPr>
            <w:tcW w:w="1456" w:type="dxa"/>
            <w:vAlign w:val="bottom"/>
          </w:tcPr>
          <w:p w14:paraId="23ACFFC8"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100,1</w:t>
            </w:r>
          </w:p>
        </w:tc>
        <w:tc>
          <w:tcPr>
            <w:tcW w:w="1456" w:type="dxa"/>
            <w:vAlign w:val="bottom"/>
          </w:tcPr>
          <w:p w14:paraId="3EDD5B0C"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103,1</w:t>
            </w:r>
          </w:p>
        </w:tc>
        <w:tc>
          <w:tcPr>
            <w:tcW w:w="1456" w:type="dxa"/>
            <w:vAlign w:val="bottom"/>
          </w:tcPr>
          <w:p w14:paraId="4CFAA876"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105,7</w:t>
            </w:r>
          </w:p>
        </w:tc>
      </w:tr>
      <w:tr w:rsidR="00402A5C" w:rsidRPr="003F54CF" w14:paraId="7482F2A9" w14:textId="77777777" w:rsidTr="00B0795E">
        <w:tc>
          <w:tcPr>
            <w:tcW w:w="3139" w:type="dxa"/>
          </w:tcPr>
          <w:p w14:paraId="53BE2781" w14:textId="77777777" w:rsidR="00402A5C" w:rsidRPr="00483671" w:rsidRDefault="00402A5C" w:rsidP="00B0795E">
            <w:pPr>
              <w:spacing w:before="60" w:after="60"/>
              <w:rPr>
                <w:rFonts w:ascii="Times New Roman" w:hAnsi="Times New Roman" w:cs="Times New Roman"/>
                <w:sz w:val="20"/>
                <w:szCs w:val="20"/>
              </w:rPr>
            </w:pPr>
            <w:r w:rsidRPr="00483671">
              <w:rPr>
                <w:rFonts w:ascii="Times New Roman" w:hAnsi="Times New Roman" w:cs="Times New Roman"/>
                <w:sz w:val="20"/>
                <w:szCs w:val="20"/>
              </w:rPr>
              <w:t>Ražotāju cenu indekss rūpniecībā (NACE 2.red.) (2015=100)</w:t>
            </w:r>
          </w:p>
        </w:tc>
        <w:tc>
          <w:tcPr>
            <w:tcW w:w="1456" w:type="dxa"/>
            <w:vAlign w:val="bottom"/>
          </w:tcPr>
          <w:p w14:paraId="40FE5B20"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100,0</w:t>
            </w:r>
          </w:p>
        </w:tc>
        <w:tc>
          <w:tcPr>
            <w:tcW w:w="1456" w:type="dxa"/>
            <w:vAlign w:val="bottom"/>
          </w:tcPr>
          <w:p w14:paraId="78FABD9A"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97,6</w:t>
            </w:r>
          </w:p>
        </w:tc>
        <w:tc>
          <w:tcPr>
            <w:tcW w:w="1456" w:type="dxa"/>
            <w:vAlign w:val="bottom"/>
          </w:tcPr>
          <w:p w14:paraId="4648BB20"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100,2</w:t>
            </w:r>
          </w:p>
        </w:tc>
        <w:tc>
          <w:tcPr>
            <w:tcW w:w="1456" w:type="dxa"/>
            <w:vAlign w:val="bottom"/>
          </w:tcPr>
          <w:p w14:paraId="6F3F8FF7" w14:textId="77777777" w:rsidR="00402A5C" w:rsidRPr="00483671" w:rsidRDefault="00402A5C" w:rsidP="00B0795E">
            <w:pPr>
              <w:spacing w:before="60" w:after="60"/>
              <w:jc w:val="center"/>
              <w:rPr>
                <w:rFonts w:ascii="Times New Roman" w:hAnsi="Times New Roman" w:cs="Times New Roman"/>
                <w:sz w:val="20"/>
                <w:szCs w:val="20"/>
              </w:rPr>
            </w:pPr>
            <w:r w:rsidRPr="00483671">
              <w:rPr>
                <w:rFonts w:ascii="Times New Roman" w:hAnsi="Times New Roman" w:cs="Times New Roman"/>
                <w:sz w:val="20"/>
                <w:szCs w:val="20"/>
              </w:rPr>
              <w:t>104,7</w:t>
            </w:r>
          </w:p>
        </w:tc>
      </w:tr>
    </w:tbl>
    <w:p w14:paraId="5EA42804" w14:textId="77777777" w:rsidR="00402A5C" w:rsidRPr="003F54CF" w:rsidRDefault="00402A5C" w:rsidP="00402A5C">
      <w:pPr>
        <w:spacing w:before="120"/>
        <w:rPr>
          <w:rFonts w:ascii="Times New Roman" w:hAnsi="Times New Roman" w:cs="Times New Roman"/>
          <w:sz w:val="18"/>
          <w:szCs w:val="18"/>
        </w:rPr>
      </w:pPr>
      <w:r w:rsidRPr="003F54CF">
        <w:rPr>
          <w:rFonts w:ascii="Times New Roman" w:hAnsi="Times New Roman" w:cs="Times New Roman"/>
          <w:sz w:val="18"/>
          <w:szCs w:val="18"/>
        </w:rPr>
        <w:t>Avots: CSP</w:t>
      </w:r>
    </w:p>
    <w:p w14:paraId="5AA00D93" w14:textId="77777777" w:rsidR="00402A5C" w:rsidRPr="000B5687" w:rsidRDefault="00402A5C" w:rsidP="00402A5C">
      <w:pPr>
        <w:spacing w:after="0"/>
        <w:ind w:firstLine="709"/>
        <w:jc w:val="both"/>
        <w:rPr>
          <w:rFonts w:ascii="Times New Roman" w:hAnsi="Times New Roman" w:cs="Times New Roman"/>
          <w:b/>
          <w:sz w:val="28"/>
          <w:szCs w:val="28"/>
        </w:rPr>
      </w:pPr>
      <w:r w:rsidRPr="000B5687">
        <w:rPr>
          <w:rFonts w:ascii="Times New Roman" w:hAnsi="Times New Roman" w:cs="Times New Roman"/>
          <w:b/>
          <w:sz w:val="28"/>
          <w:szCs w:val="28"/>
        </w:rPr>
        <w:t>Secinājumi</w:t>
      </w:r>
    </w:p>
    <w:p w14:paraId="1B810F2B" w14:textId="3BD4695F" w:rsidR="00725F2A" w:rsidRDefault="00402A5C" w:rsidP="00402A5C">
      <w:pPr>
        <w:spacing w:after="0"/>
        <w:ind w:firstLine="709"/>
        <w:jc w:val="both"/>
        <w:rPr>
          <w:rFonts w:ascii="Times New Roman" w:hAnsi="Times New Roman" w:cs="Times New Roman"/>
          <w:sz w:val="28"/>
          <w:szCs w:val="28"/>
        </w:rPr>
      </w:pPr>
      <w:r w:rsidRPr="00E50D87">
        <w:rPr>
          <w:rFonts w:ascii="Times New Roman" w:hAnsi="Times New Roman" w:cs="Times New Roman"/>
          <w:sz w:val="28"/>
          <w:szCs w:val="28"/>
        </w:rPr>
        <w:t>Neraugoties uz būvniecības apjomu pieaugumu</w:t>
      </w:r>
      <w:r>
        <w:rPr>
          <w:rFonts w:ascii="Times New Roman" w:hAnsi="Times New Roman" w:cs="Times New Roman"/>
          <w:sz w:val="28"/>
          <w:szCs w:val="28"/>
        </w:rPr>
        <w:t xml:space="preserve"> no </w:t>
      </w:r>
      <w:r w:rsidRPr="00E50D87">
        <w:rPr>
          <w:rFonts w:ascii="Times New Roman" w:hAnsi="Times New Roman" w:cs="Times New Roman"/>
          <w:sz w:val="28"/>
          <w:szCs w:val="28"/>
        </w:rPr>
        <w:t>2017. gad</w:t>
      </w:r>
      <w:r>
        <w:rPr>
          <w:rFonts w:ascii="Times New Roman" w:hAnsi="Times New Roman" w:cs="Times New Roman"/>
          <w:sz w:val="28"/>
          <w:szCs w:val="28"/>
        </w:rPr>
        <w:t>a</w:t>
      </w:r>
      <w:r w:rsidRPr="00E50D87">
        <w:rPr>
          <w:rFonts w:ascii="Times New Roman" w:hAnsi="Times New Roman" w:cs="Times New Roman"/>
          <w:sz w:val="28"/>
          <w:szCs w:val="28"/>
        </w:rPr>
        <w:t>, kam sekoja arī  izmaksu kāpums, kopumā būvniecības nozares attīstība neizrāda pārkaršanas riska pazīmes, kādas bija vērojamas 2007.- 2009.gad</w:t>
      </w:r>
      <w:r>
        <w:rPr>
          <w:rFonts w:ascii="Times New Roman" w:hAnsi="Times New Roman" w:cs="Times New Roman"/>
          <w:sz w:val="28"/>
          <w:szCs w:val="28"/>
        </w:rPr>
        <w:t>os.</w:t>
      </w:r>
      <w:r w:rsidRPr="00E50D87">
        <w:rPr>
          <w:rFonts w:ascii="Times New Roman" w:hAnsi="Times New Roman" w:cs="Times New Roman"/>
          <w:sz w:val="28"/>
          <w:szCs w:val="28"/>
        </w:rPr>
        <w:t xml:space="preserve"> </w:t>
      </w:r>
      <w:r w:rsidR="002D66E1">
        <w:rPr>
          <w:rFonts w:ascii="Times New Roman" w:hAnsi="Times New Roman" w:cs="Times New Roman"/>
          <w:sz w:val="28"/>
          <w:szCs w:val="28"/>
        </w:rPr>
        <w:t>L</w:t>
      </w:r>
      <w:r w:rsidR="002D66E1" w:rsidRPr="002D66E1">
        <w:rPr>
          <w:rFonts w:ascii="Times New Roman" w:hAnsi="Times New Roman" w:cs="Times New Roman"/>
          <w:sz w:val="28"/>
          <w:szCs w:val="28"/>
        </w:rPr>
        <w:t xml:space="preserve">ai arī būvniecības izmaksas, īpaši strādnieku darba alga, pēdējos 2 gados ir pieaugušas, tās nav bijušas straujākas par vidējo tempu tautsaimniecībā un būtiski atpaliek no </w:t>
      </w:r>
      <w:proofErr w:type="spellStart"/>
      <w:r w:rsidR="002D66E1" w:rsidRPr="002D66E1">
        <w:rPr>
          <w:rFonts w:ascii="Times New Roman" w:hAnsi="Times New Roman" w:cs="Times New Roman"/>
          <w:sz w:val="28"/>
          <w:szCs w:val="28"/>
        </w:rPr>
        <w:t>pirmskrīzes</w:t>
      </w:r>
      <w:proofErr w:type="spellEnd"/>
      <w:r w:rsidR="002D66E1" w:rsidRPr="002D66E1">
        <w:rPr>
          <w:rFonts w:ascii="Times New Roman" w:hAnsi="Times New Roman" w:cs="Times New Roman"/>
          <w:sz w:val="28"/>
          <w:szCs w:val="28"/>
        </w:rPr>
        <w:t xml:space="preserve"> periodā pieredzētā. Būvniecības izmaksas turpinās augt arī 2019. un 2020.gadā, tomēr lēnākā tempā. Salīdzinot ar būvniecības “buma” periodu 2004. - 2007.gados, šobrīd būvniecības pieaugumi nav saistīti ar kreditēšanu, jo kredītu atlikuma pieaugums atpaliek no mājokļu cenu pieauguma.</w:t>
      </w:r>
    </w:p>
    <w:p w14:paraId="077C686B" w14:textId="77777777" w:rsidR="00176B24" w:rsidRDefault="00176B24" w:rsidP="00402A5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Būvniecības pakalpojumu cenu svārstības pamatā izraisa būvniecības produkcijas apjomu straujas izmaiņas. Būvniecības nozares attīstība pēdējos gados ir izteikti cikliska, straujiem būvniecības produkcijas apjomu pieaugumiem seko būvniecības apjomu kritumi. </w:t>
      </w:r>
    </w:p>
    <w:p w14:paraId="49359E5D" w14:textId="1079A4D3" w:rsidR="00402A5C" w:rsidRDefault="00176B24" w:rsidP="00402A5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Būvniecības apjomu izmaiņas </w:t>
      </w:r>
      <w:r w:rsidR="00725F2A">
        <w:rPr>
          <w:rFonts w:ascii="Times New Roman" w:hAnsi="Times New Roman" w:cs="Times New Roman"/>
          <w:sz w:val="28"/>
          <w:szCs w:val="28"/>
        </w:rPr>
        <w:t>lielākoties ietekmē publiskā pasūtījuma nevienmērīgie apjomi,</w:t>
      </w:r>
      <w:r>
        <w:rPr>
          <w:rFonts w:ascii="Times New Roman" w:hAnsi="Times New Roman" w:cs="Times New Roman"/>
          <w:sz w:val="28"/>
          <w:szCs w:val="28"/>
        </w:rPr>
        <w:t xml:space="preserve"> tai skaitā</w:t>
      </w:r>
      <w:r w:rsidR="00725F2A">
        <w:rPr>
          <w:rFonts w:ascii="Times New Roman" w:hAnsi="Times New Roman" w:cs="Times New Roman"/>
          <w:sz w:val="28"/>
          <w:szCs w:val="28"/>
        </w:rPr>
        <w:t xml:space="preserve"> vairāku lielo projektu vienlaicīgā uzsākšana, Eiropas Savienības līdzfinansējuma </w:t>
      </w:r>
      <w:r>
        <w:rPr>
          <w:rFonts w:ascii="Times New Roman" w:hAnsi="Times New Roman" w:cs="Times New Roman"/>
          <w:sz w:val="28"/>
          <w:szCs w:val="28"/>
        </w:rPr>
        <w:t>nevienmērīgā plānošanā, lielus projektus uzsākot plānošanas perioda beigās</w:t>
      </w:r>
      <w:r w:rsidR="00643C03">
        <w:rPr>
          <w:rFonts w:ascii="Times New Roman" w:hAnsi="Times New Roman" w:cs="Times New Roman"/>
          <w:sz w:val="28"/>
          <w:szCs w:val="28"/>
        </w:rPr>
        <w:t xml:space="preserve">. </w:t>
      </w:r>
    </w:p>
    <w:p w14:paraId="25B4F232" w14:textId="6C12389E" w:rsidR="00643C03" w:rsidRDefault="00643C03" w:rsidP="00402A5C">
      <w:pPr>
        <w:spacing w:after="0"/>
        <w:ind w:firstLine="709"/>
        <w:jc w:val="both"/>
        <w:rPr>
          <w:rFonts w:ascii="Times New Roman" w:hAnsi="Times New Roman" w:cs="Times New Roman"/>
          <w:sz w:val="28"/>
          <w:szCs w:val="28"/>
        </w:rPr>
      </w:pPr>
      <w:r>
        <w:rPr>
          <w:rFonts w:ascii="Times New Roman" w:hAnsi="Times New Roman" w:cs="Times New Roman"/>
          <w:sz w:val="28"/>
          <w:szCs w:val="28"/>
        </w:rPr>
        <w:t>Jāatzīmē, ka būvniecības produkcijas cenas ietekmē arī virkne citu faktoru. Lielāks cenu pieaugums ir vērojams publiskajos iepirkumos, kā arī projektos, kas tiek īstenoti ar Eiropas Savienības līdzfinansējumu. Šādam cenu pieaugumam pamatā ir:</w:t>
      </w:r>
    </w:p>
    <w:p w14:paraId="121302C2" w14:textId="09751374" w:rsidR="00643C03" w:rsidRDefault="00643C03" w:rsidP="00643C03">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nepietiekami darbu izpildes termiņi (izteikti projektos, kurus līdzfinansē no Eiropas Savienības līdzekļiem);</w:t>
      </w:r>
    </w:p>
    <w:p w14:paraId="6B780634" w14:textId="6A717BCF" w:rsidR="00643C03" w:rsidRDefault="00BE4755" w:rsidP="00643C03">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pārregulēts un ierobežojošs publisko iepirkumu process;</w:t>
      </w:r>
    </w:p>
    <w:p w14:paraId="6D23B2C2" w14:textId="2109905C" w:rsidR="000654E4" w:rsidRPr="000654E4" w:rsidRDefault="000654E4" w:rsidP="000654E4">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lielākās atbildības uzlikšana būvdarbu veicējam līgumtiesisko attiecību ietvaros (atbildība par būvprojektēšanas dokumentācijas trūkumiem un nepilnībām, riski saistībā ar neparedzētiem apstākļiem).</w:t>
      </w:r>
    </w:p>
    <w:p w14:paraId="531F2632" w14:textId="77777777" w:rsidR="00573988" w:rsidRDefault="00402A5C" w:rsidP="00402A5C">
      <w:pPr>
        <w:spacing w:after="0"/>
        <w:jc w:val="both"/>
        <w:rPr>
          <w:rFonts w:ascii="Times New Roman" w:hAnsi="Times New Roman" w:cs="Times New Roman"/>
          <w:sz w:val="28"/>
          <w:szCs w:val="28"/>
        </w:rPr>
      </w:pPr>
      <w:r>
        <w:rPr>
          <w:rFonts w:ascii="Times New Roman" w:hAnsi="Times New Roman" w:cs="Times New Roman"/>
          <w:sz w:val="28"/>
          <w:szCs w:val="28"/>
        </w:rPr>
        <w:tab/>
      </w:r>
    </w:p>
    <w:p w14:paraId="29092716" w14:textId="5847BCB4" w:rsidR="00402A5C" w:rsidRPr="00E50D87" w:rsidRDefault="00402A5C" w:rsidP="00573988">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Analizējot būvniecības nozares attīstības </w:t>
      </w:r>
      <w:r w:rsidR="000654E4">
        <w:rPr>
          <w:rFonts w:ascii="Times New Roman" w:hAnsi="Times New Roman" w:cs="Times New Roman"/>
          <w:sz w:val="28"/>
          <w:szCs w:val="28"/>
        </w:rPr>
        <w:t>tendences</w:t>
      </w:r>
      <w:r>
        <w:rPr>
          <w:rFonts w:ascii="Times New Roman" w:hAnsi="Times New Roman" w:cs="Times New Roman"/>
          <w:sz w:val="28"/>
          <w:szCs w:val="28"/>
        </w:rPr>
        <w:t xml:space="preserve"> var secināt, ka:  </w:t>
      </w:r>
    </w:p>
    <w:p w14:paraId="5F2D2D8A" w14:textId="77777777" w:rsidR="00402A5C" w:rsidRDefault="00402A5C" w:rsidP="00402A5C">
      <w:pPr>
        <w:pStyle w:val="ListParagraph"/>
        <w:numPr>
          <w:ilvl w:val="0"/>
          <w:numId w:val="7"/>
        </w:numPr>
        <w:spacing w:after="0"/>
        <w:ind w:left="567" w:hanging="283"/>
        <w:jc w:val="both"/>
        <w:rPr>
          <w:rFonts w:ascii="Times New Roman" w:hAnsi="Times New Roman" w:cs="Times New Roman"/>
          <w:sz w:val="28"/>
          <w:szCs w:val="28"/>
        </w:rPr>
      </w:pPr>
      <w:r w:rsidRPr="00E50D87">
        <w:rPr>
          <w:rFonts w:ascii="Times New Roman" w:hAnsi="Times New Roman" w:cs="Times New Roman"/>
          <w:sz w:val="28"/>
          <w:szCs w:val="28"/>
        </w:rPr>
        <w:t xml:space="preserve">publisko iepirkumu būvniecības apjomam ir būtiska ietekme uz būvniecības nozari tā īpatsvara dēļ. </w:t>
      </w:r>
      <w:r w:rsidRPr="006859D2">
        <w:rPr>
          <w:rFonts w:ascii="Times New Roman" w:hAnsi="Times New Roman" w:cs="Times New Roman"/>
          <w:sz w:val="28"/>
          <w:szCs w:val="28"/>
        </w:rPr>
        <w:t>Publisko iepirkumu būvniecības apjomam prognozējams risks būtiski samazināties pēc 2021. gada,</w:t>
      </w:r>
      <w:r w:rsidRPr="00E50D87">
        <w:rPr>
          <w:rFonts w:ascii="Times New Roman" w:hAnsi="Times New Roman" w:cs="Times New Roman"/>
          <w:sz w:val="28"/>
          <w:szCs w:val="28"/>
        </w:rPr>
        <w:t xml:space="preserve"> ja apjoma dinamika būs līdzīga, kā iepriekšējā ES fondu plānošanas periodā pēc 2014.gada un ES fondu līdzfinansēto projektu apjoma kritums netiks aizvietots ar valsts, pašvaldību, privātā sektora projektiem un jaunā ES fondu plānošanas perioda savlaicīgi uzsāktiem projektiem</w:t>
      </w:r>
      <w:r>
        <w:rPr>
          <w:rFonts w:ascii="Times New Roman" w:hAnsi="Times New Roman" w:cs="Times New Roman"/>
          <w:sz w:val="28"/>
          <w:szCs w:val="28"/>
        </w:rPr>
        <w:t>;</w:t>
      </w:r>
      <w:r w:rsidRPr="00E50D87">
        <w:rPr>
          <w:rFonts w:ascii="Times New Roman" w:hAnsi="Times New Roman" w:cs="Times New Roman"/>
          <w:sz w:val="28"/>
          <w:szCs w:val="28"/>
        </w:rPr>
        <w:t xml:space="preserve"> </w:t>
      </w:r>
    </w:p>
    <w:p w14:paraId="6338E9F6" w14:textId="77777777" w:rsidR="00402A5C" w:rsidRDefault="00402A5C" w:rsidP="00402A5C">
      <w:pPr>
        <w:pStyle w:val="ListParagraph"/>
        <w:numPr>
          <w:ilvl w:val="0"/>
          <w:numId w:val="7"/>
        </w:numPr>
        <w:spacing w:after="0"/>
        <w:ind w:left="567" w:hanging="283"/>
        <w:jc w:val="both"/>
        <w:rPr>
          <w:rFonts w:ascii="Times New Roman" w:hAnsi="Times New Roman" w:cs="Times New Roman"/>
          <w:sz w:val="28"/>
          <w:szCs w:val="28"/>
        </w:rPr>
      </w:pPr>
      <w:r w:rsidRPr="00E50D87">
        <w:rPr>
          <w:rFonts w:ascii="Times New Roman" w:hAnsi="Times New Roman" w:cs="Times New Roman"/>
          <w:sz w:val="28"/>
          <w:szCs w:val="28"/>
        </w:rPr>
        <w:t xml:space="preserve">pastāv būtisks risks, ka privātais pieprasījums uzreiz neaizvietos publisko iepirkumu apjoma kritumu un iespējams būtisks būvniecības apjomu samazinājums, tāpēc </w:t>
      </w:r>
      <w:r>
        <w:rPr>
          <w:rFonts w:ascii="Times New Roman" w:hAnsi="Times New Roman" w:cs="Times New Roman"/>
          <w:sz w:val="28"/>
          <w:szCs w:val="28"/>
        </w:rPr>
        <w:t>tiek ieteikts</w:t>
      </w:r>
      <w:r w:rsidRPr="00E50D87">
        <w:rPr>
          <w:rFonts w:ascii="Times New Roman" w:hAnsi="Times New Roman" w:cs="Times New Roman"/>
          <w:sz w:val="28"/>
          <w:szCs w:val="28"/>
        </w:rPr>
        <w:t xml:space="preserve"> publisko pasūtījumu izmantot kā instrumentu tirgus svārstību izlīdzināšanai</w:t>
      </w:r>
      <w:r>
        <w:rPr>
          <w:rFonts w:ascii="Times New Roman" w:hAnsi="Times New Roman" w:cs="Times New Roman"/>
          <w:sz w:val="28"/>
          <w:szCs w:val="28"/>
        </w:rPr>
        <w:t>;</w:t>
      </w:r>
    </w:p>
    <w:p w14:paraId="753741C8" w14:textId="2D3C9DFC" w:rsidR="00DA60BD" w:rsidRDefault="00DA60BD" w:rsidP="00402A5C">
      <w:pPr>
        <w:pStyle w:val="ListParagraph"/>
        <w:numPr>
          <w:ilvl w:val="0"/>
          <w:numId w:val="7"/>
        </w:numPr>
        <w:spacing w:after="0"/>
        <w:ind w:left="567" w:hanging="283"/>
        <w:jc w:val="both"/>
        <w:rPr>
          <w:rFonts w:ascii="Times New Roman" w:hAnsi="Times New Roman" w:cs="Times New Roman"/>
          <w:sz w:val="28"/>
          <w:szCs w:val="28"/>
        </w:rPr>
      </w:pPr>
      <w:r>
        <w:rPr>
          <w:rFonts w:ascii="Times New Roman" w:hAnsi="Times New Roman" w:cs="Times New Roman"/>
          <w:sz w:val="28"/>
          <w:szCs w:val="28"/>
        </w:rPr>
        <w:t>a</w:t>
      </w:r>
      <w:r w:rsidRPr="00DA60BD">
        <w:rPr>
          <w:rFonts w:ascii="Times New Roman" w:hAnsi="Times New Roman" w:cs="Times New Roman"/>
          <w:sz w:val="28"/>
          <w:szCs w:val="28"/>
        </w:rPr>
        <w:t>pjomu izmaiņas autoceļu un dzelzceļa jomās savstarpēji nekompensējas, proti, būvniecības apjomu pieaugums dzelzceļa infrastruktūras jomā nerada papildus darba apjomu būvniecības uzņēmumiem, kuri ir specializējušies autoceļu infrastruktūras būvniecībā un otrādi. Līdz ar to autoceļu infrastruktūras būvniecībā ir nepieciešams kompensēt Eiropas Savienības struktūrfondu finansējuma kritumu un izstrādāt ilgtermiņa autoceļu būvniecības plānu, paredzot tam atbilstošu finansējumu</w:t>
      </w:r>
      <w:r>
        <w:rPr>
          <w:rFonts w:ascii="Times New Roman" w:hAnsi="Times New Roman" w:cs="Times New Roman"/>
          <w:sz w:val="28"/>
          <w:szCs w:val="28"/>
        </w:rPr>
        <w:t>;</w:t>
      </w:r>
    </w:p>
    <w:p w14:paraId="1974729D" w14:textId="761DEDC3" w:rsidR="00402A5C" w:rsidRDefault="00402A5C" w:rsidP="00402A5C">
      <w:pPr>
        <w:pStyle w:val="ListParagraph"/>
        <w:numPr>
          <w:ilvl w:val="0"/>
          <w:numId w:val="7"/>
        </w:numPr>
        <w:spacing w:after="0"/>
        <w:ind w:left="567" w:hanging="283"/>
        <w:jc w:val="both"/>
        <w:rPr>
          <w:rFonts w:ascii="Times New Roman" w:hAnsi="Times New Roman" w:cs="Times New Roman"/>
          <w:sz w:val="28"/>
          <w:szCs w:val="28"/>
        </w:rPr>
      </w:pPr>
      <w:r>
        <w:rPr>
          <w:rFonts w:ascii="Times New Roman" w:hAnsi="Times New Roman" w:cs="Times New Roman"/>
          <w:sz w:val="28"/>
          <w:szCs w:val="28"/>
        </w:rPr>
        <w:t>i</w:t>
      </w:r>
      <w:r w:rsidRPr="00E50D87">
        <w:rPr>
          <w:rFonts w:ascii="Times New Roman" w:hAnsi="Times New Roman" w:cs="Times New Roman"/>
          <w:sz w:val="28"/>
          <w:szCs w:val="28"/>
        </w:rPr>
        <w:t xml:space="preserve">zmaksu izmaiņu prognozes liecina, ka būvniecības izmaksu līmenis praktiski </w:t>
      </w:r>
      <w:r>
        <w:rPr>
          <w:rFonts w:ascii="Times New Roman" w:hAnsi="Times New Roman" w:cs="Times New Roman"/>
          <w:sz w:val="28"/>
          <w:szCs w:val="28"/>
        </w:rPr>
        <w:t xml:space="preserve">paliks </w:t>
      </w:r>
      <w:r w:rsidRPr="00E50D87">
        <w:rPr>
          <w:rFonts w:ascii="Times New Roman" w:hAnsi="Times New Roman" w:cs="Times New Roman"/>
          <w:sz w:val="28"/>
          <w:szCs w:val="28"/>
        </w:rPr>
        <w:t>nemainīgs</w:t>
      </w:r>
      <w:r>
        <w:rPr>
          <w:rFonts w:ascii="Times New Roman" w:hAnsi="Times New Roman" w:cs="Times New Roman"/>
          <w:sz w:val="28"/>
          <w:szCs w:val="28"/>
        </w:rPr>
        <w:t xml:space="preserve"> arī</w:t>
      </w:r>
      <w:r w:rsidRPr="00E50D87">
        <w:rPr>
          <w:rFonts w:ascii="Times New Roman" w:hAnsi="Times New Roman" w:cs="Times New Roman"/>
          <w:sz w:val="28"/>
          <w:szCs w:val="28"/>
        </w:rPr>
        <w:t xml:space="preserve"> pēc 2020.gada, </w:t>
      </w:r>
      <w:r>
        <w:rPr>
          <w:rFonts w:ascii="Times New Roman" w:hAnsi="Times New Roman" w:cs="Times New Roman"/>
          <w:sz w:val="28"/>
          <w:szCs w:val="28"/>
        </w:rPr>
        <w:t>2021. un 2022.gadā</w:t>
      </w:r>
      <w:r w:rsidRPr="00E50D87">
        <w:rPr>
          <w:rFonts w:ascii="Times New Roman" w:hAnsi="Times New Roman" w:cs="Times New Roman"/>
          <w:sz w:val="28"/>
          <w:szCs w:val="28"/>
        </w:rPr>
        <w:t>, līdzīgi kā 2014.-2016.gadā</w:t>
      </w:r>
      <w:r>
        <w:rPr>
          <w:rFonts w:ascii="Times New Roman" w:hAnsi="Times New Roman" w:cs="Times New Roman"/>
          <w:sz w:val="28"/>
          <w:szCs w:val="28"/>
        </w:rPr>
        <w:t>;</w:t>
      </w:r>
      <w:r w:rsidRPr="00E50D87">
        <w:rPr>
          <w:rFonts w:ascii="Times New Roman" w:hAnsi="Times New Roman" w:cs="Times New Roman"/>
          <w:sz w:val="28"/>
          <w:szCs w:val="28"/>
        </w:rPr>
        <w:t xml:space="preserve"> </w:t>
      </w:r>
    </w:p>
    <w:p w14:paraId="235DA842" w14:textId="10661D2B" w:rsidR="00402A5C" w:rsidRDefault="00402A5C" w:rsidP="00402A5C">
      <w:pPr>
        <w:pStyle w:val="ListParagraph"/>
        <w:numPr>
          <w:ilvl w:val="0"/>
          <w:numId w:val="7"/>
        </w:numPr>
        <w:spacing w:after="0"/>
        <w:ind w:left="567" w:hanging="283"/>
        <w:jc w:val="both"/>
        <w:rPr>
          <w:rFonts w:ascii="Times New Roman" w:hAnsi="Times New Roman" w:cs="Times New Roman"/>
          <w:sz w:val="28"/>
          <w:szCs w:val="28"/>
        </w:rPr>
      </w:pPr>
      <w:r>
        <w:rPr>
          <w:rFonts w:ascii="Times New Roman" w:hAnsi="Times New Roman" w:cs="Times New Roman"/>
          <w:sz w:val="28"/>
          <w:szCs w:val="28"/>
        </w:rPr>
        <w:t>ēnu ekonomikas apkarošanas pasākumi</w:t>
      </w:r>
      <w:r w:rsidR="000654E4">
        <w:rPr>
          <w:rFonts w:ascii="Times New Roman" w:hAnsi="Times New Roman" w:cs="Times New Roman"/>
          <w:sz w:val="28"/>
          <w:szCs w:val="28"/>
        </w:rPr>
        <w:t xml:space="preserve"> var atstāt ievērojamu ietekmi uz būvniecības produkcijas cenām. Jāņem vērā, ka ar 2019. gada novembrī stāsies spēkā vispārsaistošā ģenerālvienošanās būvniecības nozarē, kas </w:t>
      </w:r>
      <w:r w:rsidR="000654E4" w:rsidRPr="000654E4">
        <w:rPr>
          <w:rFonts w:ascii="Times New Roman" w:hAnsi="Times New Roman" w:cs="Times New Roman"/>
          <w:sz w:val="28"/>
          <w:szCs w:val="28"/>
        </w:rPr>
        <w:t>paredz, ka minimālā bruto alga būvniecībā būs 780 eiro, kā arī nosaka iespēju saņemt 5% piemaksu, ja nodarbinātais ir ieguvis profesijai atbilstošu izglītību, tādējādi garantējot 820 eiro minimālo algu</w:t>
      </w:r>
      <w:r w:rsidR="000654E4">
        <w:rPr>
          <w:rFonts w:ascii="Times New Roman" w:hAnsi="Times New Roman" w:cs="Times New Roman"/>
          <w:sz w:val="28"/>
          <w:szCs w:val="28"/>
        </w:rPr>
        <w:t xml:space="preserve">. 2020. gada 1.februārī </w:t>
      </w:r>
      <w:r w:rsidR="00B0795E">
        <w:rPr>
          <w:rFonts w:ascii="Times New Roman" w:hAnsi="Times New Roman" w:cs="Times New Roman"/>
          <w:sz w:val="28"/>
          <w:szCs w:val="28"/>
        </w:rPr>
        <w:lastRenderedPageBreak/>
        <w:t>pilnā apjomā tiks iedarbināta elektroniskā darba laika uzskaites sistēma, tai skaitā uzsāks darbību Vienotā darba laika uzskaites sistēma, saņemot datus par būvniecībā nodarbināto faktisko darba laiku būvlaukumā no visām elektroniskās darba laika uzskaites sistēmām. Abus ēnu ekonomikas ierobežošanas pasākumus nozare atzīst par efektīviem</w:t>
      </w:r>
      <w:r>
        <w:rPr>
          <w:rFonts w:ascii="Times New Roman" w:hAnsi="Times New Roman" w:cs="Times New Roman"/>
          <w:sz w:val="28"/>
          <w:szCs w:val="28"/>
        </w:rPr>
        <w:t>;</w:t>
      </w:r>
    </w:p>
    <w:p w14:paraId="5B0CC0CB" w14:textId="316D149B" w:rsidR="00402A5C" w:rsidRPr="002B09AF" w:rsidRDefault="00B0795E" w:rsidP="00402A5C">
      <w:pPr>
        <w:pStyle w:val="ListParagraph"/>
        <w:numPr>
          <w:ilvl w:val="0"/>
          <w:numId w:val="7"/>
        </w:numPr>
        <w:spacing w:after="0"/>
        <w:ind w:left="567" w:hanging="283"/>
        <w:jc w:val="both"/>
        <w:rPr>
          <w:rFonts w:ascii="Times New Roman" w:hAnsi="Times New Roman" w:cs="Times New Roman"/>
          <w:sz w:val="28"/>
          <w:szCs w:val="28"/>
        </w:rPr>
      </w:pPr>
      <w:r>
        <w:rPr>
          <w:rFonts w:ascii="Times New Roman" w:hAnsi="Times New Roman" w:cs="Times New Roman"/>
          <w:sz w:val="28"/>
          <w:szCs w:val="28"/>
        </w:rPr>
        <w:t xml:space="preserve">viens no būvdarbu cenu pieauguma riskiem objektu līmenī ir trūkumi un nepilnības būvprojektēšanas dokumentos, kā arī nepietiekama apjomā veiktā priekšizpēte. Lai mazinātu šo risku, </w:t>
      </w:r>
      <w:r w:rsidR="00402A5C" w:rsidRPr="002B09AF">
        <w:rPr>
          <w:rFonts w:ascii="Times New Roman" w:hAnsi="Times New Roman" w:cs="Times New Roman"/>
          <w:sz w:val="28"/>
          <w:szCs w:val="28"/>
        </w:rPr>
        <w:t xml:space="preserve">lietderīgi ir strādāt pie būves informācijas modelēšanas (BIM) ieviešanas Latvijā, kas būtiski uzlabotu </w:t>
      </w:r>
      <w:r w:rsidR="002D66E1">
        <w:rPr>
          <w:rFonts w:ascii="Times New Roman" w:hAnsi="Times New Roman" w:cs="Times New Roman"/>
          <w:sz w:val="28"/>
          <w:szCs w:val="28"/>
        </w:rPr>
        <w:t xml:space="preserve">būvprojektēšanas dokumentācijas kvalitāti, veicinātu </w:t>
      </w:r>
      <w:r w:rsidR="00402A5C" w:rsidRPr="002B09AF">
        <w:rPr>
          <w:rFonts w:ascii="Times New Roman" w:hAnsi="Times New Roman" w:cs="Times New Roman"/>
          <w:sz w:val="28"/>
          <w:szCs w:val="28"/>
        </w:rPr>
        <w:t xml:space="preserve">būvniecības </w:t>
      </w:r>
      <w:r w:rsidR="00402A5C">
        <w:rPr>
          <w:rFonts w:ascii="Times New Roman" w:hAnsi="Times New Roman" w:cs="Times New Roman"/>
          <w:sz w:val="28"/>
          <w:szCs w:val="28"/>
        </w:rPr>
        <w:t>prognozējamību</w:t>
      </w:r>
      <w:r>
        <w:rPr>
          <w:rFonts w:ascii="Times New Roman" w:hAnsi="Times New Roman" w:cs="Times New Roman"/>
          <w:sz w:val="28"/>
          <w:szCs w:val="28"/>
        </w:rPr>
        <w:t xml:space="preserve">, optimizētu </w:t>
      </w:r>
      <w:r w:rsidR="002D66E1">
        <w:rPr>
          <w:rFonts w:ascii="Times New Roman" w:hAnsi="Times New Roman" w:cs="Times New Roman"/>
          <w:sz w:val="28"/>
          <w:szCs w:val="28"/>
        </w:rPr>
        <w:t>būvdarbu organizāciju un secīgu izpildi, samazinātu būvdarbu termiņus, padarītu efektīvāku projektu vadību un uzraudzību.</w:t>
      </w:r>
    </w:p>
    <w:p w14:paraId="0BF2DF50" w14:textId="677E28D7" w:rsidR="00402A5C" w:rsidRPr="00402A5C" w:rsidRDefault="00402A5C" w:rsidP="00402A5C">
      <w:pPr>
        <w:rPr>
          <w:rFonts w:ascii="Times New Roman" w:hAnsi="Times New Roman" w:cs="Times New Roman"/>
          <w:sz w:val="28"/>
          <w:szCs w:val="28"/>
        </w:rPr>
      </w:pPr>
      <w:r>
        <w:rPr>
          <w:rFonts w:ascii="Times New Roman" w:hAnsi="Times New Roman" w:cs="Times New Roman"/>
          <w:sz w:val="28"/>
          <w:szCs w:val="28"/>
        </w:rPr>
        <w:br w:type="page"/>
      </w:r>
    </w:p>
    <w:p w14:paraId="63077AAA" w14:textId="4C877C85" w:rsidR="00F0398B" w:rsidRPr="00F0398B" w:rsidRDefault="008605FA" w:rsidP="00F0398B">
      <w:pPr>
        <w:pStyle w:val="Heading1"/>
      </w:pPr>
      <w:r w:rsidRPr="00F0398B">
        <w:lastRenderedPageBreak/>
        <w:t>2</w:t>
      </w:r>
      <w:r w:rsidR="00F70D40" w:rsidRPr="00F0398B">
        <w:t xml:space="preserve">. </w:t>
      </w:r>
      <w:r w:rsidR="0043103F" w:rsidRPr="00F0398B">
        <w:t xml:space="preserve">Darbaspēka un būvmateriālu izmaksu </w:t>
      </w:r>
      <w:r w:rsidR="00F70D40" w:rsidRPr="00F0398B">
        <w:t xml:space="preserve">prognoze </w:t>
      </w:r>
      <w:r w:rsidR="0043103F" w:rsidRPr="00F0398B">
        <w:t>būvniecības nozarē Latvijā</w:t>
      </w:r>
      <w:bookmarkEnd w:id="4"/>
    </w:p>
    <w:p w14:paraId="4185A14F" w14:textId="56955C39" w:rsidR="00F52455" w:rsidRPr="00403EB2" w:rsidRDefault="00F52455" w:rsidP="00F52455">
      <w:pPr>
        <w:spacing w:after="0"/>
        <w:ind w:firstLine="720"/>
        <w:jc w:val="both"/>
        <w:rPr>
          <w:rFonts w:ascii="Times New Roman" w:hAnsi="Times New Roman"/>
          <w:sz w:val="28"/>
          <w:szCs w:val="28"/>
        </w:rPr>
      </w:pPr>
      <w:r w:rsidRPr="006E7378">
        <w:rPr>
          <w:rFonts w:ascii="Times New Roman" w:hAnsi="Times New Roman"/>
          <w:color w:val="2A2A2A"/>
          <w:sz w:val="28"/>
          <w:szCs w:val="28"/>
          <w:shd w:val="clear" w:color="auto" w:fill="FFFFFF"/>
        </w:rPr>
        <w:t>Pētījumu “</w:t>
      </w:r>
      <w:r w:rsidRPr="006E7378">
        <w:rPr>
          <w:rFonts w:ascii="Times New Roman" w:hAnsi="Times New Roman"/>
          <w:sz w:val="28"/>
          <w:szCs w:val="28"/>
        </w:rPr>
        <w:t>Par prognozētām izmaiņām darbaspēka un būvmateriālu izmaksās būvniecības nozarē Latvijā” (turpmāk – Pētījums)</w:t>
      </w:r>
      <w:r w:rsidRPr="006E7378">
        <w:rPr>
          <w:rFonts w:ascii="Times New Roman" w:hAnsi="Times New Roman"/>
          <w:color w:val="2A2A2A"/>
          <w:sz w:val="28"/>
          <w:szCs w:val="28"/>
          <w:shd w:val="clear" w:color="auto" w:fill="FFFFFF"/>
        </w:rPr>
        <w:t>, publiskā iepirkuma ietvaros, veica SIA</w:t>
      </w:r>
      <w:r w:rsidRPr="006E7378">
        <w:rPr>
          <w:rFonts w:ascii="Times New Roman" w:hAnsi="Times New Roman"/>
          <w:sz w:val="28"/>
          <w:szCs w:val="28"/>
        </w:rPr>
        <w:t xml:space="preserve"> “Oxford Research Baltics” . Plašāka informācija par pētījumu un pētījumā izmantotajām metodē</w:t>
      </w:r>
      <w:r w:rsidR="00E10545" w:rsidRPr="006E7378">
        <w:rPr>
          <w:rFonts w:ascii="Times New Roman" w:hAnsi="Times New Roman"/>
          <w:sz w:val="28"/>
          <w:szCs w:val="28"/>
        </w:rPr>
        <w:t xml:space="preserve">m - </w:t>
      </w:r>
      <w:r w:rsidRPr="006E7378">
        <w:rPr>
          <w:rFonts w:ascii="Times New Roman" w:hAnsi="Times New Roman"/>
          <w:sz w:val="28"/>
          <w:szCs w:val="28"/>
        </w:rPr>
        <w:t>Pielikumā nr.1.</w:t>
      </w:r>
    </w:p>
    <w:p w14:paraId="7138754A" w14:textId="529CFF55" w:rsidR="00465843" w:rsidRDefault="00F52455" w:rsidP="00D3491A">
      <w:pPr>
        <w:pStyle w:val="Heading2"/>
        <w:spacing w:line="360" w:lineRule="auto"/>
        <w:rPr>
          <w:rFonts w:ascii="Times New Roman" w:hAnsi="Times New Roman"/>
          <w:b/>
          <w:sz w:val="28"/>
          <w:szCs w:val="28"/>
        </w:rPr>
      </w:pPr>
      <w:bookmarkStart w:id="5" w:name="_Toc15480924"/>
      <w:r>
        <w:rPr>
          <w:rFonts w:ascii="Times New Roman" w:hAnsi="Times New Roman"/>
          <w:b/>
          <w:sz w:val="28"/>
          <w:szCs w:val="28"/>
        </w:rPr>
        <w:t>2</w:t>
      </w:r>
      <w:r w:rsidR="00F70D40" w:rsidRPr="00403EB2">
        <w:rPr>
          <w:rFonts w:ascii="Times New Roman" w:hAnsi="Times New Roman"/>
          <w:b/>
          <w:sz w:val="28"/>
          <w:szCs w:val="28"/>
        </w:rPr>
        <w:t xml:space="preserve">.1. </w:t>
      </w:r>
      <w:r w:rsidR="00465843" w:rsidRPr="00403EB2">
        <w:rPr>
          <w:rFonts w:ascii="Times New Roman" w:hAnsi="Times New Roman"/>
          <w:b/>
          <w:sz w:val="28"/>
          <w:szCs w:val="28"/>
        </w:rPr>
        <w:t>Būvniecības produkcijas apjomi</w:t>
      </w:r>
      <w:bookmarkEnd w:id="5"/>
    </w:p>
    <w:p w14:paraId="29A23380" w14:textId="52B80FC0" w:rsidR="00B96EBC" w:rsidRPr="00B96EBC" w:rsidRDefault="00B96EBC" w:rsidP="00B96EBC">
      <w:pPr>
        <w:spacing w:after="0"/>
        <w:ind w:firstLine="720"/>
        <w:contextualSpacing/>
        <w:jc w:val="both"/>
        <w:rPr>
          <w:rFonts w:ascii="Times New Roman" w:eastAsia="Times New Roman" w:hAnsi="Times New Roman" w:cs="Times New Roman"/>
          <w:sz w:val="28"/>
          <w:szCs w:val="28"/>
          <w:bdr w:val="none" w:sz="0" w:space="0" w:color="auto" w:frame="1"/>
          <w:lang w:eastAsia="en-GB"/>
        </w:rPr>
      </w:pPr>
      <w:r>
        <w:rPr>
          <w:rStyle w:val="st"/>
          <w:rFonts w:ascii="Times New Roman" w:hAnsi="Times New Roman" w:cs="Times New Roman"/>
          <w:sz w:val="28"/>
          <w:szCs w:val="28"/>
        </w:rPr>
        <w:t>B</w:t>
      </w:r>
      <w:r w:rsidRPr="00B96EBC">
        <w:rPr>
          <w:rStyle w:val="st"/>
          <w:rFonts w:ascii="Times New Roman" w:hAnsi="Times New Roman" w:cs="Times New Roman"/>
          <w:sz w:val="28"/>
          <w:szCs w:val="28"/>
        </w:rPr>
        <w:t xml:space="preserve">ūvniecības izmaksu izmaiņas lielā mērā ietekmē būvniecības produkcijas apjoma pieprasījums un </w:t>
      </w:r>
      <w:r w:rsidR="00220277">
        <w:rPr>
          <w:rStyle w:val="st"/>
          <w:rFonts w:ascii="Times New Roman" w:hAnsi="Times New Roman" w:cs="Times New Roman"/>
          <w:sz w:val="28"/>
          <w:szCs w:val="28"/>
        </w:rPr>
        <w:t>īstenotais</w:t>
      </w:r>
      <w:r w:rsidRPr="00B96EBC">
        <w:rPr>
          <w:rStyle w:val="st"/>
          <w:rFonts w:ascii="Times New Roman" w:hAnsi="Times New Roman" w:cs="Times New Roman"/>
          <w:sz w:val="28"/>
          <w:szCs w:val="28"/>
        </w:rPr>
        <w:t xml:space="preserve"> apjoms/piedāvājums, uz ko reaģē tirgus cenas, tādēļ būtiski ir apzināt iespējamās apjoma tendences un svārstības.</w:t>
      </w:r>
    </w:p>
    <w:p w14:paraId="6BFC4A6D" w14:textId="543C463E" w:rsidR="00B96EBC" w:rsidRPr="00B96EBC" w:rsidRDefault="00B96EBC" w:rsidP="00B96EBC">
      <w:pPr>
        <w:pStyle w:val="Heading3"/>
        <w:jc w:val="center"/>
        <w:rPr>
          <w:rFonts w:ascii="Times New Roman" w:hAnsi="Times New Roman" w:cs="Times New Roman"/>
          <w:b/>
          <w:sz w:val="28"/>
          <w:szCs w:val="28"/>
        </w:rPr>
      </w:pPr>
      <w:bookmarkStart w:id="6" w:name="_Toc15480925"/>
      <w:r w:rsidRPr="00B96EBC">
        <w:rPr>
          <w:rFonts w:ascii="Times New Roman" w:hAnsi="Times New Roman" w:cs="Times New Roman"/>
          <w:b/>
          <w:sz w:val="28"/>
          <w:szCs w:val="28"/>
        </w:rPr>
        <w:t>2.1.1. Būvniecības produkcijas kopējo apjomu izmaiņas</w:t>
      </w:r>
      <w:bookmarkEnd w:id="6"/>
    </w:p>
    <w:p w14:paraId="2DF5FB7E" w14:textId="77777777" w:rsidR="00D3491A" w:rsidRPr="00151B04" w:rsidRDefault="00D3491A" w:rsidP="00B64BBC">
      <w:pPr>
        <w:spacing w:after="0"/>
        <w:ind w:firstLine="720"/>
        <w:contextualSpacing/>
        <w:jc w:val="both"/>
        <w:rPr>
          <w:rFonts w:ascii="Times New Roman" w:eastAsia="Times New Roman" w:hAnsi="Times New Roman"/>
          <w:sz w:val="16"/>
          <w:szCs w:val="16"/>
          <w:bdr w:val="none" w:sz="0" w:space="0" w:color="auto" w:frame="1"/>
          <w:lang w:eastAsia="en-GB"/>
        </w:rPr>
      </w:pPr>
    </w:p>
    <w:p w14:paraId="16BDB765" w14:textId="20DF34B6" w:rsidR="00B8270B" w:rsidRPr="00403EB2" w:rsidRDefault="00E35EC0" w:rsidP="00B64BBC">
      <w:pPr>
        <w:spacing w:after="0"/>
        <w:ind w:firstLine="720"/>
        <w:contextualSpacing/>
        <w:jc w:val="both"/>
        <w:rPr>
          <w:rFonts w:ascii="Times New Roman" w:eastAsia="Times New Roman" w:hAnsi="Times New Roman" w:cs="Times New Roman"/>
          <w:sz w:val="28"/>
          <w:szCs w:val="28"/>
          <w:bdr w:val="none" w:sz="0" w:space="0" w:color="auto" w:frame="1"/>
          <w:lang w:eastAsia="en-GB"/>
        </w:rPr>
      </w:pPr>
      <w:r w:rsidRPr="00403EB2">
        <w:rPr>
          <w:rFonts w:ascii="Times New Roman" w:eastAsia="Times New Roman" w:hAnsi="Times New Roman"/>
          <w:sz w:val="28"/>
          <w:szCs w:val="28"/>
          <w:bdr w:val="none" w:sz="0" w:space="0" w:color="auto" w:frame="1"/>
          <w:lang w:eastAsia="en-GB"/>
        </w:rPr>
        <w:t>Pētījum</w:t>
      </w:r>
      <w:r w:rsidR="00403EB2">
        <w:rPr>
          <w:rFonts w:ascii="Times New Roman" w:eastAsia="Times New Roman" w:hAnsi="Times New Roman"/>
          <w:sz w:val="28"/>
          <w:szCs w:val="28"/>
          <w:bdr w:val="none" w:sz="0" w:space="0" w:color="auto" w:frame="1"/>
          <w:lang w:eastAsia="en-GB"/>
        </w:rPr>
        <w:t>ā</w:t>
      </w:r>
      <w:r w:rsidRPr="00403EB2">
        <w:rPr>
          <w:rFonts w:ascii="Times New Roman" w:eastAsia="Times New Roman" w:hAnsi="Times New Roman"/>
          <w:sz w:val="28"/>
          <w:szCs w:val="28"/>
          <w:bdr w:val="none" w:sz="0" w:space="0" w:color="auto" w:frame="1"/>
          <w:lang w:eastAsia="en-GB"/>
        </w:rPr>
        <w:t xml:space="preserve"> t</w:t>
      </w:r>
      <w:r w:rsidR="00B8270B" w:rsidRPr="00403EB2">
        <w:rPr>
          <w:rFonts w:ascii="Times New Roman" w:eastAsia="Times New Roman" w:hAnsi="Times New Roman"/>
          <w:sz w:val="28"/>
          <w:szCs w:val="28"/>
          <w:bdr w:val="none" w:sz="0" w:space="0" w:color="auto" w:frame="1"/>
          <w:lang w:eastAsia="en-GB"/>
        </w:rPr>
        <w:t xml:space="preserve">iek prognozēts, ka </w:t>
      </w:r>
      <w:r w:rsidR="00B8270B" w:rsidRPr="00403EB2">
        <w:rPr>
          <w:rFonts w:ascii="Times New Roman" w:eastAsia="Times New Roman" w:hAnsi="Times New Roman"/>
          <w:b/>
          <w:bCs/>
          <w:sz w:val="28"/>
          <w:szCs w:val="28"/>
          <w:bdr w:val="none" w:sz="0" w:space="0" w:color="auto" w:frame="1"/>
          <w:lang w:eastAsia="en-GB"/>
        </w:rPr>
        <w:t>būvniecības produkcijas kopējais apjoms tuvākajos piecos gados pieaugs par 24,</w:t>
      </w:r>
      <w:r w:rsidR="004D40CD" w:rsidRPr="00403EB2">
        <w:rPr>
          <w:rFonts w:ascii="Times New Roman" w:eastAsia="Times New Roman" w:hAnsi="Times New Roman"/>
          <w:b/>
          <w:bCs/>
          <w:sz w:val="28"/>
          <w:szCs w:val="28"/>
          <w:bdr w:val="none" w:sz="0" w:space="0" w:color="auto" w:frame="1"/>
          <w:lang w:eastAsia="en-GB"/>
        </w:rPr>
        <w:t>7</w:t>
      </w:r>
      <w:r w:rsidR="00B8270B" w:rsidRPr="00403EB2">
        <w:rPr>
          <w:rFonts w:ascii="Times New Roman" w:eastAsia="Times New Roman" w:hAnsi="Times New Roman"/>
          <w:b/>
          <w:bCs/>
          <w:sz w:val="28"/>
          <w:szCs w:val="28"/>
          <w:bdr w:val="none" w:sz="0" w:space="0" w:color="auto" w:frame="1"/>
          <w:lang w:eastAsia="en-GB"/>
        </w:rPr>
        <w:t xml:space="preserve">% </w:t>
      </w:r>
      <w:r w:rsidRPr="00403EB2">
        <w:rPr>
          <w:rFonts w:ascii="Times New Roman" w:eastAsia="Times New Roman" w:hAnsi="Times New Roman"/>
          <w:b/>
          <w:bCs/>
          <w:sz w:val="28"/>
          <w:szCs w:val="28"/>
          <w:bdr w:val="none" w:sz="0" w:space="0" w:color="auto" w:frame="1"/>
          <w:lang w:eastAsia="en-GB"/>
        </w:rPr>
        <w:t xml:space="preserve">salīdzinot </w:t>
      </w:r>
      <w:r w:rsidR="00B8270B" w:rsidRPr="00403EB2">
        <w:rPr>
          <w:rFonts w:ascii="Times New Roman" w:eastAsia="Times New Roman" w:hAnsi="Times New Roman"/>
          <w:b/>
          <w:bCs/>
          <w:sz w:val="28"/>
          <w:szCs w:val="28"/>
          <w:bdr w:val="none" w:sz="0" w:space="0" w:color="auto" w:frame="1"/>
          <w:lang w:eastAsia="en-GB"/>
        </w:rPr>
        <w:t>pret 2018.gadu</w:t>
      </w:r>
      <w:r w:rsidR="00B8270B" w:rsidRPr="00403EB2">
        <w:rPr>
          <w:rFonts w:ascii="Times New Roman" w:eastAsia="Times New Roman" w:hAnsi="Times New Roman"/>
          <w:sz w:val="28"/>
          <w:szCs w:val="28"/>
          <w:bdr w:val="none" w:sz="0" w:space="0" w:color="auto" w:frame="1"/>
          <w:lang w:eastAsia="en-GB"/>
        </w:rPr>
        <w:t xml:space="preserve">. </w:t>
      </w:r>
      <w:r w:rsidR="00FB65F9" w:rsidRPr="00403EB2">
        <w:rPr>
          <w:rFonts w:ascii="Times New Roman" w:eastAsia="Times New Roman" w:hAnsi="Times New Roman"/>
          <w:sz w:val="28"/>
          <w:szCs w:val="28"/>
          <w:bdr w:val="none" w:sz="0" w:space="0" w:color="auto" w:frame="1"/>
          <w:lang w:eastAsia="en-GB"/>
        </w:rPr>
        <w:t xml:space="preserve">Prognozes paredz, ka 2019. un 2020.gadā būvniecības produkcijas kopējais apjoms pieaugs virs 10% pret iepriekšējo gadu, bet pēc 2021.gada paredzams pieauguma samazinājums un apjomu </w:t>
      </w:r>
      <w:r w:rsidR="00FB65F9" w:rsidRPr="00403EB2">
        <w:rPr>
          <w:rFonts w:ascii="Times New Roman" w:eastAsia="Times New Roman" w:hAnsi="Times New Roman" w:cs="Times New Roman"/>
          <w:sz w:val="28"/>
          <w:szCs w:val="28"/>
          <w:bdr w:val="none" w:sz="0" w:space="0" w:color="auto" w:frame="1"/>
          <w:lang w:eastAsia="en-GB"/>
        </w:rPr>
        <w:t>kritums.</w:t>
      </w:r>
      <w:r w:rsidR="006C72C2" w:rsidRPr="00403EB2">
        <w:rPr>
          <w:rFonts w:ascii="Times New Roman" w:eastAsia="Times New Roman" w:hAnsi="Times New Roman" w:cs="Times New Roman"/>
          <w:sz w:val="28"/>
          <w:szCs w:val="28"/>
          <w:bdr w:val="none" w:sz="0" w:space="0" w:color="auto" w:frame="1"/>
          <w:lang w:eastAsia="en-GB"/>
        </w:rPr>
        <w:t xml:space="preserve"> </w:t>
      </w:r>
    </w:p>
    <w:p w14:paraId="7E8E52D2" w14:textId="7981BB94" w:rsidR="00B96EBC" w:rsidRDefault="00B96EBC" w:rsidP="00B96EBC">
      <w:pPr>
        <w:spacing w:after="0"/>
        <w:ind w:firstLine="720"/>
        <w:contextualSpacing/>
        <w:jc w:val="both"/>
        <w:rPr>
          <w:rFonts w:ascii="Times New Roman" w:hAnsi="Times New Roman" w:cs="Times New Roman"/>
          <w:sz w:val="28"/>
          <w:szCs w:val="28"/>
        </w:rPr>
      </w:pPr>
      <w:r w:rsidRPr="00403EB2">
        <w:rPr>
          <w:rFonts w:ascii="Times New Roman" w:hAnsi="Times New Roman" w:cs="Times New Roman"/>
          <w:bCs/>
          <w:sz w:val="28"/>
          <w:szCs w:val="28"/>
        </w:rPr>
        <w:t xml:space="preserve">Kombinētais modelis būvniecības produkcijas apjomu prognozēm, tiek </w:t>
      </w:r>
      <w:r w:rsidRPr="00403EB2">
        <w:rPr>
          <w:rStyle w:val="st"/>
          <w:rFonts w:ascii="Times New Roman" w:hAnsi="Times New Roman" w:cs="Times New Roman"/>
          <w:sz w:val="28"/>
          <w:szCs w:val="28"/>
        </w:rPr>
        <w:t xml:space="preserve">veidots kā aritmētiskais vidējais no </w:t>
      </w:r>
      <w:r w:rsidRPr="00403EB2">
        <w:rPr>
          <w:rFonts w:ascii="Times New Roman" w:hAnsi="Times New Roman" w:cs="Times New Roman"/>
          <w:sz w:val="28"/>
          <w:szCs w:val="28"/>
        </w:rPr>
        <w:t xml:space="preserve">statistisko datu trenda un būvniecības ekspertu prognožu vidējās vērtības un uzrāda apjoma izmaiņas </w:t>
      </w:r>
      <w:r w:rsidRPr="00403EB2">
        <w:rPr>
          <w:rFonts w:ascii="Times New Roman" w:hAnsi="Times New Roman" w:cs="Times New Roman"/>
          <w:bCs/>
          <w:sz w:val="28"/>
          <w:szCs w:val="28"/>
        </w:rPr>
        <w:t xml:space="preserve">pret iepriekšējo gadu. </w:t>
      </w:r>
      <w:r w:rsidRPr="0077746F">
        <w:rPr>
          <w:rFonts w:ascii="Times New Roman" w:hAnsi="Times New Roman" w:cs="Times New Roman"/>
          <w:bCs/>
          <w:sz w:val="28"/>
          <w:szCs w:val="28"/>
        </w:rPr>
        <w:t>Būvniecības produkcijas apjoms pret iepriekšējo gadu</w:t>
      </w:r>
      <w:r w:rsidRPr="00403EB2">
        <w:rPr>
          <w:rFonts w:ascii="Times New Roman" w:hAnsi="Times New Roman" w:cs="Times New Roman"/>
          <w:sz w:val="28"/>
          <w:szCs w:val="28"/>
        </w:rPr>
        <w:t xml:space="preserve"> 2019.gadā pieaugs par 12,5%, 2020.gadā par 14,8%, 2021.gadā par 4,1%, 2022.gadā samazināsies par -9,2% un 2023.gadā pieaugs par 2,2%</w:t>
      </w:r>
      <w:r>
        <w:rPr>
          <w:rFonts w:ascii="Times New Roman" w:hAnsi="Times New Roman" w:cs="Times New Roman"/>
          <w:sz w:val="28"/>
          <w:szCs w:val="28"/>
        </w:rPr>
        <w:t xml:space="preserve"> </w:t>
      </w:r>
      <w:r w:rsidRPr="00403EB2">
        <w:rPr>
          <w:rStyle w:val="st"/>
          <w:rFonts w:ascii="Times New Roman" w:hAnsi="Times New Roman" w:cs="Times New Roman"/>
          <w:sz w:val="28"/>
          <w:szCs w:val="28"/>
        </w:rPr>
        <w:t>(skatīt attēlu Nr.1)</w:t>
      </w:r>
      <w:r w:rsidRPr="00403EB2">
        <w:rPr>
          <w:rFonts w:ascii="Times New Roman" w:hAnsi="Times New Roman" w:cs="Times New Roman"/>
          <w:sz w:val="28"/>
          <w:szCs w:val="28"/>
        </w:rPr>
        <w:t xml:space="preserve">. </w:t>
      </w:r>
    </w:p>
    <w:p w14:paraId="01060EBC" w14:textId="77777777" w:rsidR="00B31E6E" w:rsidRPr="00B31E6E" w:rsidRDefault="00B31E6E" w:rsidP="00B96EBC">
      <w:pPr>
        <w:spacing w:after="0"/>
        <w:ind w:firstLine="720"/>
        <w:contextualSpacing/>
        <w:jc w:val="both"/>
        <w:rPr>
          <w:rFonts w:ascii="Times New Roman" w:hAnsi="Times New Roman" w:cs="Times New Roman"/>
          <w:sz w:val="12"/>
          <w:szCs w:val="12"/>
        </w:rPr>
      </w:pPr>
    </w:p>
    <w:p w14:paraId="07277031" w14:textId="6E8CA7ED" w:rsidR="00DB3D04" w:rsidRPr="00D3491A" w:rsidRDefault="00DB3D04" w:rsidP="005E5098">
      <w:pPr>
        <w:spacing w:after="120" w:line="240" w:lineRule="auto"/>
        <w:jc w:val="center"/>
        <w:rPr>
          <w:rFonts w:ascii="Times New Roman" w:hAnsi="Times New Roman"/>
          <w:b/>
          <w:sz w:val="24"/>
          <w:szCs w:val="24"/>
        </w:rPr>
      </w:pPr>
      <w:r w:rsidRPr="00D3491A">
        <w:rPr>
          <w:rFonts w:ascii="Times New Roman" w:eastAsia="Times New Roman" w:hAnsi="Times New Roman"/>
          <w:b/>
          <w:i/>
          <w:iCs/>
          <w:sz w:val="24"/>
          <w:szCs w:val="24"/>
          <w:bdr w:val="none" w:sz="0" w:space="0" w:color="auto" w:frame="1"/>
          <w:lang w:eastAsia="en-GB"/>
        </w:rPr>
        <w:t>Attēls Nr.1</w:t>
      </w:r>
      <w:r w:rsidR="00E50D87" w:rsidRPr="00D3491A">
        <w:rPr>
          <w:rFonts w:ascii="Times New Roman" w:eastAsia="Times New Roman" w:hAnsi="Times New Roman"/>
          <w:b/>
          <w:i/>
          <w:iCs/>
          <w:sz w:val="24"/>
          <w:szCs w:val="24"/>
          <w:bdr w:val="none" w:sz="0" w:space="0" w:color="auto" w:frame="1"/>
          <w:lang w:eastAsia="en-GB"/>
        </w:rPr>
        <w:t>.</w:t>
      </w:r>
      <w:r w:rsidRPr="00D3491A">
        <w:rPr>
          <w:rFonts w:ascii="Times New Roman" w:eastAsia="Times New Roman" w:hAnsi="Times New Roman"/>
          <w:b/>
          <w:sz w:val="24"/>
          <w:szCs w:val="24"/>
          <w:bdr w:val="none" w:sz="0" w:space="0" w:color="auto" w:frame="1"/>
          <w:lang w:eastAsia="en-GB"/>
        </w:rPr>
        <w:t xml:space="preserve"> </w:t>
      </w:r>
      <w:r w:rsidRPr="00D3491A">
        <w:rPr>
          <w:rFonts w:ascii="Times New Roman" w:hAnsi="Times New Roman"/>
          <w:b/>
          <w:i/>
          <w:iCs/>
          <w:sz w:val="24"/>
          <w:szCs w:val="24"/>
        </w:rPr>
        <w:t>Būvniecības produkcijas apjoma izmaiņas līdz 2018. gadam un prognozes no 2019. līdz 2023</w:t>
      </w:r>
      <w:r w:rsidR="00CF4060" w:rsidRPr="00D3491A">
        <w:rPr>
          <w:rFonts w:ascii="Times New Roman" w:hAnsi="Times New Roman"/>
          <w:b/>
          <w:i/>
          <w:iCs/>
          <w:sz w:val="24"/>
          <w:szCs w:val="24"/>
        </w:rPr>
        <w:t>.</w:t>
      </w:r>
      <w:r w:rsidRPr="00D3491A">
        <w:rPr>
          <w:rFonts w:ascii="Times New Roman" w:hAnsi="Times New Roman"/>
          <w:b/>
          <w:i/>
          <w:iCs/>
          <w:sz w:val="24"/>
          <w:szCs w:val="24"/>
        </w:rPr>
        <w:t>gadam (kumulatīvās izmaiņas pret 2018.gadu, %)</w:t>
      </w:r>
    </w:p>
    <w:p w14:paraId="0F07C1A6" w14:textId="77777777" w:rsidR="00DB3D04" w:rsidRPr="00B64BBC" w:rsidRDefault="00DB3D04" w:rsidP="00DB3D04">
      <w:pPr>
        <w:spacing w:after="0"/>
        <w:contextualSpacing/>
        <w:jc w:val="center"/>
        <w:rPr>
          <w:rFonts w:ascii="Times New Roman" w:eastAsia="Times New Roman" w:hAnsi="Times New Roman"/>
          <w:sz w:val="24"/>
          <w:szCs w:val="24"/>
          <w:bdr w:val="none" w:sz="0" w:space="0" w:color="auto" w:frame="1"/>
          <w:lang w:eastAsia="en-GB"/>
        </w:rPr>
      </w:pPr>
      <w:r w:rsidRPr="00B64BBC">
        <w:rPr>
          <w:rFonts w:ascii="Times New Roman" w:eastAsia="Times New Roman" w:hAnsi="Times New Roman"/>
          <w:noProof/>
          <w:sz w:val="24"/>
          <w:szCs w:val="24"/>
          <w:lang w:eastAsia="en-GB"/>
        </w:rPr>
        <w:drawing>
          <wp:inline distT="0" distB="0" distL="0" distR="0" wp14:anchorId="69C54706" wp14:editId="0040EB8B">
            <wp:extent cx="4655820" cy="2102818"/>
            <wp:effectExtent l="0" t="0" r="0" b="0"/>
            <wp:docPr id="2" name="Picture 1">
              <a:extLst xmlns:a="http://schemas.openxmlformats.org/drawingml/2006/main">
                <a:ext uri="{FF2B5EF4-FFF2-40B4-BE49-F238E27FC236}">
                  <a16:creationId xmlns:a16="http://schemas.microsoft.com/office/drawing/2014/main" id="{3536CCCA-06CF-4050-A420-68721A11C1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536CCCA-06CF-4050-A420-68721A11C1C5}"/>
                        </a:ext>
                      </a:extLst>
                    </pic:cNvPr>
                    <pic:cNvPicPr>
                      <a:picLocks noChangeAspect="1"/>
                    </pic:cNvPicPr>
                  </pic:nvPicPr>
                  <pic:blipFill>
                    <a:blip r:embed="rId9"/>
                    <a:stretch>
                      <a:fillRect/>
                    </a:stretch>
                  </pic:blipFill>
                  <pic:spPr>
                    <a:xfrm>
                      <a:off x="0" y="0"/>
                      <a:ext cx="4942740" cy="2232407"/>
                    </a:xfrm>
                    <a:prstGeom prst="rect">
                      <a:avLst/>
                    </a:prstGeom>
                  </pic:spPr>
                </pic:pic>
              </a:graphicData>
            </a:graphic>
          </wp:inline>
        </w:drawing>
      </w:r>
    </w:p>
    <w:p w14:paraId="5168F10C" w14:textId="41F435F9" w:rsidR="00B31E6E" w:rsidRDefault="00DB3D04" w:rsidP="00B31E6E">
      <w:pPr>
        <w:spacing w:after="0"/>
        <w:ind w:firstLine="720"/>
        <w:contextualSpacing/>
        <w:rPr>
          <w:rFonts w:ascii="Times New Roman" w:eastAsia="Times New Roman" w:hAnsi="Times New Roman"/>
          <w:sz w:val="16"/>
          <w:szCs w:val="16"/>
          <w:bdr w:val="none" w:sz="0" w:space="0" w:color="auto" w:frame="1"/>
          <w:lang w:eastAsia="en-GB"/>
        </w:rPr>
      </w:pPr>
      <w:r w:rsidRPr="00B31E6E">
        <w:rPr>
          <w:rFonts w:ascii="Times New Roman" w:eastAsia="Times New Roman" w:hAnsi="Times New Roman"/>
          <w:sz w:val="20"/>
          <w:szCs w:val="20"/>
          <w:bdr w:val="none" w:sz="0" w:space="0" w:color="auto" w:frame="1"/>
          <w:lang w:eastAsia="en-GB"/>
        </w:rPr>
        <w:t>Avots:</w:t>
      </w:r>
      <w:r w:rsidRPr="00B31E6E">
        <w:rPr>
          <w:rFonts w:ascii="Times New Roman" w:eastAsia="Times New Roman" w:hAnsi="Times New Roman"/>
          <w:sz w:val="32"/>
          <w:szCs w:val="32"/>
          <w:bdr w:val="none" w:sz="0" w:space="0" w:color="auto" w:frame="1"/>
          <w:lang w:eastAsia="en-GB"/>
        </w:rPr>
        <w:t xml:space="preserve"> </w:t>
      </w:r>
      <w:r w:rsidRPr="00B31E6E">
        <w:rPr>
          <w:rFonts w:ascii="Times New Roman" w:eastAsia="Times New Roman" w:hAnsi="Times New Roman"/>
          <w:sz w:val="20"/>
          <w:szCs w:val="20"/>
          <w:bdr w:val="none" w:sz="0" w:space="0" w:color="auto" w:frame="1"/>
          <w:lang w:eastAsia="en-GB"/>
        </w:rPr>
        <w:t>Pētījums</w:t>
      </w:r>
      <w:r w:rsidR="00B31E6E">
        <w:rPr>
          <w:rFonts w:ascii="Times New Roman" w:eastAsia="Times New Roman" w:hAnsi="Times New Roman"/>
          <w:sz w:val="16"/>
          <w:szCs w:val="16"/>
          <w:bdr w:val="none" w:sz="0" w:space="0" w:color="auto" w:frame="1"/>
          <w:lang w:eastAsia="en-GB"/>
        </w:rPr>
        <w:br w:type="page"/>
      </w:r>
    </w:p>
    <w:p w14:paraId="452C2A95" w14:textId="17B4EA38" w:rsidR="00B96EBC" w:rsidRDefault="00B96EBC" w:rsidP="00B96EBC">
      <w:pPr>
        <w:ind w:firstLine="851"/>
        <w:jc w:val="both"/>
        <w:rPr>
          <w:rStyle w:val="st"/>
          <w:rFonts w:ascii="Times New Roman" w:hAnsi="Times New Roman" w:cs="Times New Roman"/>
          <w:sz w:val="28"/>
          <w:szCs w:val="28"/>
        </w:rPr>
      </w:pPr>
      <w:r w:rsidRPr="00B96EBC">
        <w:rPr>
          <w:rStyle w:val="st"/>
          <w:rFonts w:ascii="Times New Roman" w:hAnsi="Times New Roman" w:cs="Times New Roman"/>
          <w:sz w:val="28"/>
          <w:szCs w:val="28"/>
        </w:rPr>
        <w:lastRenderedPageBreak/>
        <w:t>Salīdzinot abus prognožu datu avotus, secināms, ka ekspertu redzējums ir optimistiskāks un tas var būt saistīts ar reālā pieprasījuma izpratni, taču pēdējo gadu straujā kāpuma pieredze var būt radījusi pārspīlētu optimismu. Statistiskais modelis norāda uz krituma risku, kas iestātos, ja, sarūkot publisko būvniecības iepirkumu apjomam, tirgus nebūtu pietiekoši elastīgs, lai reaģētu ar cenu samazinājumu, kā rezultātā privātais pieprasījums neaizvietotu publisko, kā arī uz situāciju, kurā pirmajos ES fondu plānošanas perioda gados būvniecības projekti praksē vēl netiek īstenoti būtiskos apmēros.</w:t>
      </w:r>
    </w:p>
    <w:p w14:paraId="15791F73" w14:textId="254B9442" w:rsidR="000604DF" w:rsidRPr="006E7378" w:rsidRDefault="000604DF" w:rsidP="00B31E6E">
      <w:pPr>
        <w:spacing w:after="0" w:line="276" w:lineRule="auto"/>
        <w:ind w:firstLine="851"/>
        <w:jc w:val="both"/>
        <w:rPr>
          <w:rFonts w:ascii="Times New Roman" w:eastAsia="Calibri" w:hAnsi="Times New Roman" w:cs="Times New Roman"/>
          <w:sz w:val="28"/>
          <w:szCs w:val="28"/>
        </w:rPr>
      </w:pPr>
      <w:r w:rsidRPr="006E7378">
        <w:rPr>
          <w:rFonts w:ascii="Times New Roman" w:eastAsia="Calibri" w:hAnsi="Times New Roman" w:cs="Times New Roman"/>
          <w:sz w:val="28"/>
          <w:szCs w:val="28"/>
        </w:rPr>
        <w:t xml:space="preserve">Salīdzinot 2019.gadā  un 2018.gadā veikto pētījumu kopējās būvniecības produkcijas apjoma izmaiņu kombinētās prognozes, var secināt, ka 2018.gada pētījuma prognozes ir pozitīvākas un paredzēja vien nelielas būvniecības </w:t>
      </w:r>
      <w:r w:rsidRPr="006E7378">
        <w:rPr>
          <w:rFonts w:ascii="Times New Roman" w:hAnsi="Times New Roman" w:cs="Times New Roman"/>
          <w:sz w:val="28"/>
          <w:szCs w:val="28"/>
        </w:rPr>
        <w:t>produkcijas</w:t>
      </w:r>
      <w:r w:rsidRPr="006E7378">
        <w:rPr>
          <w:rFonts w:ascii="Times New Roman" w:eastAsia="Calibri" w:hAnsi="Times New Roman" w:cs="Times New Roman"/>
          <w:sz w:val="28"/>
          <w:szCs w:val="28"/>
        </w:rPr>
        <w:t xml:space="preserve"> apjomu izmaiņas. Pretstatam, 2019.gada pētījuma prognozes liecina par strauju samazinājumu pēc 2020.gada, sasniedzot negatīvu apjoma izmaiņu radītāju 2022.gadā. </w:t>
      </w:r>
    </w:p>
    <w:p w14:paraId="128A33AC" w14:textId="77777777" w:rsidR="000604DF" w:rsidRPr="00B96EBC" w:rsidRDefault="000604DF" w:rsidP="00B31E6E">
      <w:pPr>
        <w:spacing w:after="0"/>
        <w:ind w:firstLine="851"/>
        <w:jc w:val="both"/>
        <w:rPr>
          <w:rStyle w:val="st"/>
          <w:rFonts w:ascii="Times New Roman" w:hAnsi="Times New Roman" w:cs="Times New Roman"/>
          <w:sz w:val="28"/>
          <w:szCs w:val="28"/>
        </w:rPr>
      </w:pPr>
    </w:p>
    <w:p w14:paraId="632E38B0" w14:textId="7F419BBD" w:rsidR="00D3491A" w:rsidRPr="00D3491A" w:rsidRDefault="00D3491A" w:rsidP="00D3491A">
      <w:pPr>
        <w:pStyle w:val="Heading3"/>
        <w:spacing w:line="360" w:lineRule="auto"/>
        <w:jc w:val="center"/>
        <w:rPr>
          <w:rFonts w:ascii="Times New Roman" w:hAnsi="Times New Roman"/>
          <w:b/>
          <w:sz w:val="28"/>
          <w:szCs w:val="28"/>
        </w:rPr>
      </w:pPr>
      <w:bookmarkStart w:id="7" w:name="_Toc15480926"/>
      <w:r>
        <w:rPr>
          <w:rFonts w:ascii="Times New Roman" w:hAnsi="Times New Roman"/>
          <w:b/>
          <w:sz w:val="28"/>
          <w:szCs w:val="28"/>
        </w:rPr>
        <w:t>2.1.2.</w:t>
      </w:r>
      <w:r w:rsidR="00373937" w:rsidRPr="00230F81">
        <w:rPr>
          <w:rFonts w:ascii="Times New Roman" w:hAnsi="Times New Roman"/>
          <w:b/>
          <w:sz w:val="28"/>
          <w:szCs w:val="28"/>
        </w:rPr>
        <w:t>Būvniecības produkcijas apjomu izmaiņas pa apakšnozarēm</w:t>
      </w:r>
      <w:bookmarkEnd w:id="7"/>
    </w:p>
    <w:p w14:paraId="7C76C82E" w14:textId="660C5417" w:rsidR="000604DF" w:rsidRDefault="00373937" w:rsidP="006E7378">
      <w:pPr>
        <w:spacing w:after="120" w:line="276" w:lineRule="auto"/>
        <w:ind w:firstLine="851"/>
        <w:rPr>
          <w:rFonts w:ascii="Times New Roman" w:hAnsi="Times New Roman"/>
          <w:sz w:val="28"/>
          <w:szCs w:val="28"/>
        </w:rPr>
      </w:pPr>
      <w:r>
        <w:rPr>
          <w:rFonts w:ascii="Times New Roman" w:hAnsi="Times New Roman"/>
          <w:sz w:val="28"/>
          <w:szCs w:val="28"/>
        </w:rPr>
        <w:t xml:space="preserve">Saskaņā ar </w:t>
      </w:r>
      <w:r w:rsidRPr="003475D6">
        <w:rPr>
          <w:rFonts w:ascii="Times New Roman" w:hAnsi="Times New Roman"/>
          <w:sz w:val="28"/>
          <w:szCs w:val="28"/>
        </w:rPr>
        <w:t>Centrālās statistikas pārvaldes datiem būvniecības nozares lielāko produkcijas apjomu 42% apmērā no kopējā nozares apjoma veido nedzīvojamo būvju būvniecība, kam seko transportbūves – 24% apmērā</w:t>
      </w:r>
      <w:r w:rsidR="000604DF">
        <w:rPr>
          <w:rFonts w:ascii="Times New Roman" w:hAnsi="Times New Roman"/>
          <w:sz w:val="28"/>
          <w:szCs w:val="28"/>
        </w:rPr>
        <w:t xml:space="preserve"> </w:t>
      </w:r>
      <w:r w:rsidR="000604DF" w:rsidRPr="00403EB2">
        <w:rPr>
          <w:rStyle w:val="st"/>
          <w:rFonts w:ascii="Times New Roman" w:hAnsi="Times New Roman" w:cs="Times New Roman"/>
          <w:sz w:val="28"/>
          <w:szCs w:val="28"/>
        </w:rPr>
        <w:t>(skatīt attēlu Nr.</w:t>
      </w:r>
      <w:r w:rsidR="000604DF">
        <w:rPr>
          <w:rStyle w:val="st"/>
          <w:rFonts w:ascii="Times New Roman" w:hAnsi="Times New Roman" w:cs="Times New Roman"/>
          <w:sz w:val="28"/>
          <w:szCs w:val="28"/>
        </w:rPr>
        <w:t>2</w:t>
      </w:r>
      <w:r w:rsidR="000604DF" w:rsidRPr="00403EB2">
        <w:rPr>
          <w:rStyle w:val="st"/>
          <w:rFonts w:ascii="Times New Roman" w:hAnsi="Times New Roman" w:cs="Times New Roman"/>
          <w:sz w:val="28"/>
          <w:szCs w:val="28"/>
        </w:rPr>
        <w:t>)</w:t>
      </w:r>
      <w:r w:rsidR="000604DF" w:rsidRPr="00403EB2">
        <w:rPr>
          <w:rFonts w:ascii="Times New Roman" w:hAnsi="Times New Roman" w:cs="Times New Roman"/>
          <w:sz w:val="28"/>
          <w:szCs w:val="28"/>
        </w:rPr>
        <w:t xml:space="preserve">. </w:t>
      </w:r>
      <w:r w:rsidRPr="003475D6">
        <w:rPr>
          <w:rFonts w:ascii="Times New Roman" w:hAnsi="Times New Roman"/>
          <w:sz w:val="28"/>
          <w:szCs w:val="28"/>
        </w:rPr>
        <w:t xml:space="preserve"> </w:t>
      </w:r>
    </w:p>
    <w:p w14:paraId="5C6F7218" w14:textId="4CC2C28E" w:rsidR="000604DF" w:rsidRPr="000604DF" w:rsidRDefault="000604DF" w:rsidP="005E5098">
      <w:pPr>
        <w:spacing w:after="120"/>
        <w:jc w:val="center"/>
        <w:rPr>
          <w:rFonts w:ascii="Times New Roman" w:hAnsi="Times New Roman" w:cs="Times New Roman"/>
          <w:b/>
          <w:i/>
          <w:sz w:val="24"/>
          <w:szCs w:val="24"/>
          <w:bdr w:val="none" w:sz="0" w:space="0" w:color="auto" w:frame="1"/>
          <w:lang w:eastAsia="en-GB"/>
        </w:rPr>
      </w:pPr>
      <w:r w:rsidRPr="000604DF">
        <w:rPr>
          <w:rFonts w:ascii="Times New Roman" w:eastAsia="Times New Roman" w:hAnsi="Times New Roman" w:cs="Times New Roman"/>
          <w:b/>
          <w:i/>
          <w:iCs/>
          <w:sz w:val="24"/>
          <w:szCs w:val="24"/>
          <w:bdr w:val="none" w:sz="0" w:space="0" w:color="auto" w:frame="1"/>
          <w:lang w:eastAsia="en-GB"/>
        </w:rPr>
        <w:t>Attēls Nr.</w:t>
      </w:r>
      <w:r w:rsidR="00114E62">
        <w:rPr>
          <w:rFonts w:ascii="Times New Roman" w:eastAsia="Times New Roman" w:hAnsi="Times New Roman" w:cs="Times New Roman"/>
          <w:b/>
          <w:i/>
          <w:iCs/>
          <w:sz w:val="24"/>
          <w:szCs w:val="24"/>
          <w:bdr w:val="none" w:sz="0" w:space="0" w:color="auto" w:frame="1"/>
          <w:lang w:eastAsia="en-GB"/>
        </w:rPr>
        <w:t>2</w:t>
      </w:r>
      <w:r w:rsidRPr="000604DF">
        <w:rPr>
          <w:rFonts w:ascii="Times New Roman" w:eastAsia="Times New Roman" w:hAnsi="Times New Roman" w:cs="Times New Roman"/>
          <w:b/>
          <w:i/>
          <w:iCs/>
          <w:sz w:val="24"/>
          <w:szCs w:val="24"/>
          <w:bdr w:val="none" w:sz="0" w:space="0" w:color="auto" w:frame="1"/>
          <w:lang w:eastAsia="en-GB"/>
        </w:rPr>
        <w:t>.</w:t>
      </w:r>
      <w:r w:rsidRPr="000604DF">
        <w:rPr>
          <w:rFonts w:ascii="Times New Roman" w:eastAsia="Times New Roman" w:hAnsi="Times New Roman" w:cs="Times New Roman"/>
          <w:b/>
          <w:i/>
          <w:sz w:val="24"/>
          <w:szCs w:val="24"/>
          <w:bdr w:val="none" w:sz="0" w:space="0" w:color="auto" w:frame="1"/>
          <w:lang w:eastAsia="en-GB"/>
        </w:rPr>
        <w:t xml:space="preserve"> </w:t>
      </w:r>
      <w:r w:rsidRPr="000604DF">
        <w:rPr>
          <w:rFonts w:ascii="Times New Roman" w:eastAsia="Times New Roman" w:hAnsi="Times New Roman" w:cs="Times New Roman"/>
          <w:b/>
          <w:bCs/>
          <w:i/>
          <w:sz w:val="24"/>
          <w:szCs w:val="24"/>
          <w:bdr w:val="none" w:sz="0" w:space="0" w:color="auto" w:frame="1"/>
          <w:lang w:eastAsia="en-GB"/>
        </w:rPr>
        <w:t>Būvniecības produkcijas apjoms  sadalījumā pa apakšnozarēm 2018.gadā, %</w:t>
      </w:r>
    </w:p>
    <w:p w14:paraId="27CC0EA1" w14:textId="77777777" w:rsidR="00373937" w:rsidRDefault="00373937" w:rsidP="00373937">
      <w:r>
        <w:rPr>
          <w:noProof/>
        </w:rPr>
        <w:drawing>
          <wp:inline distT="0" distB="0" distL="0" distR="0" wp14:anchorId="6F420F36" wp14:editId="39985775">
            <wp:extent cx="5829300" cy="2400300"/>
            <wp:effectExtent l="0" t="0" r="0" b="0"/>
            <wp:docPr id="8" name="Chart 8">
              <a:extLst xmlns:a="http://schemas.openxmlformats.org/drawingml/2006/main">
                <a:ext uri="{FF2B5EF4-FFF2-40B4-BE49-F238E27FC236}">
                  <a16:creationId xmlns:a16="http://schemas.microsoft.com/office/drawing/2014/main" id="{8DE6EB48-9256-49B5-97A8-A5F9635AA7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59FF51" w14:textId="77777777" w:rsidR="00373937" w:rsidRPr="000604DF" w:rsidRDefault="00373937" w:rsidP="00373937">
      <w:pPr>
        <w:rPr>
          <w:rFonts w:ascii="Times New Roman" w:hAnsi="Times New Roman" w:cs="Times New Roman"/>
          <w:sz w:val="20"/>
          <w:szCs w:val="20"/>
        </w:rPr>
      </w:pPr>
      <w:r w:rsidRPr="000604DF">
        <w:rPr>
          <w:rFonts w:ascii="Times New Roman" w:hAnsi="Times New Roman" w:cs="Times New Roman"/>
          <w:sz w:val="20"/>
          <w:szCs w:val="20"/>
        </w:rPr>
        <w:t>Avots: CSP</w:t>
      </w:r>
    </w:p>
    <w:p w14:paraId="49A4B58B" w14:textId="797997DB" w:rsidR="00373937" w:rsidRPr="006E7378" w:rsidRDefault="00373937" w:rsidP="00B31E6E">
      <w:pPr>
        <w:pStyle w:val="ListParagraph"/>
        <w:spacing w:before="120" w:after="120" w:line="276" w:lineRule="auto"/>
        <w:ind w:left="0" w:firstLine="851"/>
        <w:jc w:val="both"/>
        <w:rPr>
          <w:rFonts w:ascii="Times New Roman" w:hAnsi="Times New Roman" w:cs="Times New Roman"/>
          <w:bCs/>
          <w:sz w:val="28"/>
          <w:szCs w:val="28"/>
        </w:rPr>
      </w:pPr>
      <w:bookmarkStart w:id="8" w:name="_Toc15469443"/>
      <w:r w:rsidRPr="006E7378">
        <w:rPr>
          <w:rFonts w:ascii="Times New Roman" w:hAnsi="Times New Roman" w:cs="Times New Roman"/>
          <w:sz w:val="28"/>
          <w:szCs w:val="28"/>
        </w:rPr>
        <w:t>Pētījumā tika pētītas</w:t>
      </w:r>
      <w:bookmarkEnd w:id="8"/>
      <w:r w:rsidRPr="006E7378">
        <w:t xml:space="preserve"> </w:t>
      </w:r>
      <w:r w:rsidRPr="006E7378">
        <w:rPr>
          <w:rFonts w:ascii="Times New Roman" w:hAnsi="Times New Roman" w:cs="Times New Roman"/>
          <w:sz w:val="28"/>
          <w:szCs w:val="28"/>
        </w:rPr>
        <w:t xml:space="preserve">dzīvojamo un nedzīvojamo ēku būvniecības, transporta būvju būvniecības, </w:t>
      </w:r>
      <w:r w:rsidRPr="006E7378">
        <w:rPr>
          <w:rFonts w:ascii="Times New Roman" w:hAnsi="Times New Roman" w:cs="Times New Roman"/>
          <w:bCs/>
          <w:sz w:val="28"/>
          <w:szCs w:val="28"/>
        </w:rPr>
        <w:t>pilsētu infrastruktūras</w:t>
      </w:r>
      <w:r w:rsidR="00E80009" w:rsidRPr="006E7378">
        <w:rPr>
          <w:rFonts w:ascii="Times New Roman" w:hAnsi="Times New Roman" w:cs="Times New Roman"/>
          <w:bCs/>
          <w:sz w:val="28"/>
          <w:szCs w:val="28"/>
        </w:rPr>
        <w:t xml:space="preserve"> (maģistrālie cauruļvadi, </w:t>
      </w:r>
      <w:r w:rsidR="00E80009" w:rsidRPr="006E7378">
        <w:rPr>
          <w:rFonts w:ascii="Times New Roman" w:hAnsi="Times New Roman" w:cs="Times New Roman"/>
          <w:bCs/>
          <w:sz w:val="28"/>
          <w:szCs w:val="28"/>
        </w:rPr>
        <w:lastRenderedPageBreak/>
        <w:t>sakaru un elektropārvades līnijas)</w:t>
      </w:r>
      <w:r w:rsidRPr="006E7378">
        <w:rPr>
          <w:rFonts w:ascii="Times New Roman" w:hAnsi="Times New Roman" w:cs="Times New Roman"/>
          <w:bCs/>
          <w:sz w:val="28"/>
          <w:szCs w:val="28"/>
        </w:rPr>
        <w:t xml:space="preserve"> objektu būvniecības, pārējo inženierbūvju un komplekso būvju ražošanas uzņēmumu būvniecības apakšnozares. Vislielāko ietekmi uz būvniecības </w:t>
      </w:r>
      <w:r w:rsidR="00D3491A" w:rsidRPr="006E7378">
        <w:rPr>
          <w:rFonts w:ascii="Times New Roman" w:hAnsi="Times New Roman" w:cs="Times New Roman"/>
          <w:bCs/>
          <w:sz w:val="28"/>
          <w:szCs w:val="28"/>
        </w:rPr>
        <w:t xml:space="preserve">izmaksu izmaiņām </w:t>
      </w:r>
      <w:r w:rsidRPr="006E7378">
        <w:rPr>
          <w:rFonts w:ascii="Times New Roman" w:hAnsi="Times New Roman" w:cs="Times New Roman"/>
          <w:bCs/>
          <w:sz w:val="28"/>
          <w:szCs w:val="28"/>
        </w:rPr>
        <w:t xml:space="preserve">dod ēku, transporta un infrastruktūras objekti, tāpēc </w:t>
      </w:r>
      <w:r w:rsidR="00D3491A" w:rsidRPr="006E7378">
        <w:rPr>
          <w:rFonts w:ascii="Times New Roman" w:hAnsi="Times New Roman" w:cs="Times New Roman"/>
          <w:bCs/>
          <w:sz w:val="28"/>
          <w:szCs w:val="28"/>
        </w:rPr>
        <w:t>šīs apakšnozares</w:t>
      </w:r>
      <w:r w:rsidRPr="006E7378">
        <w:rPr>
          <w:rFonts w:ascii="Times New Roman" w:hAnsi="Times New Roman" w:cs="Times New Roman"/>
          <w:bCs/>
          <w:sz w:val="28"/>
          <w:szCs w:val="28"/>
        </w:rPr>
        <w:t xml:space="preserve"> turpmāk apskatīsim sīkāk. </w:t>
      </w:r>
    </w:p>
    <w:p w14:paraId="4ED57DA5" w14:textId="57A0D8C0" w:rsidR="00373937" w:rsidRPr="005C0535" w:rsidRDefault="00373937" w:rsidP="00461A80">
      <w:pPr>
        <w:ind w:firstLine="851"/>
        <w:jc w:val="both"/>
        <w:rPr>
          <w:rStyle w:val="st"/>
        </w:rPr>
      </w:pPr>
      <w:r w:rsidRPr="006E7378">
        <w:rPr>
          <w:rFonts w:ascii="Times New Roman" w:hAnsi="Times New Roman" w:cs="Times New Roman"/>
          <w:bCs/>
          <w:sz w:val="28"/>
          <w:szCs w:val="28"/>
        </w:rPr>
        <w:t>Komplekso būvju ražošanas uzņēmumu un pārējo inženierbūvju būvniecības apakšnozarēs tiek prognozēts vienmērīgs būvniecības apjoma pieaugums ar nelielu apjomu kritumu pārējo inženierbūvju apakšnozarē 2021., 2022. un 2023.gadā.</w:t>
      </w:r>
      <w:r w:rsidRPr="005C0535">
        <w:rPr>
          <w:rStyle w:val="st"/>
        </w:rPr>
        <w:t xml:space="preserve"> </w:t>
      </w:r>
      <w:r w:rsidR="00114E62" w:rsidRPr="00114E62">
        <w:rPr>
          <w:rFonts w:ascii="Times New Roman" w:hAnsi="Times New Roman" w:cs="Times New Roman"/>
          <w:sz w:val="28"/>
          <w:szCs w:val="28"/>
        </w:rPr>
        <w:t>Kombinētā apjoma izmaiņu prognoze apakšnozarēs veidota analoģiski kā kopējo būvniecības apjomu izmaiņu prognoze</w:t>
      </w:r>
      <w:r w:rsidR="00114E62">
        <w:rPr>
          <w:rFonts w:ascii="Times New Roman" w:hAnsi="Times New Roman" w:cs="Times New Roman"/>
          <w:sz w:val="28"/>
          <w:szCs w:val="28"/>
        </w:rPr>
        <w:t>,</w:t>
      </w:r>
      <w:r w:rsidR="00114E62" w:rsidRPr="00114E62">
        <w:rPr>
          <w:rFonts w:ascii="Times New Roman" w:hAnsi="Times New Roman" w:cs="Times New Roman"/>
          <w:sz w:val="28"/>
          <w:szCs w:val="28"/>
        </w:rPr>
        <w:t xml:space="preserve"> kā aritmētiskais vidējais no atsevišķiem avotiem</w:t>
      </w:r>
      <w:r w:rsidR="00114E62">
        <w:rPr>
          <w:rFonts w:ascii="Times New Roman" w:hAnsi="Times New Roman" w:cs="Times New Roman"/>
          <w:sz w:val="28"/>
          <w:szCs w:val="28"/>
        </w:rPr>
        <w:t>.</w:t>
      </w:r>
    </w:p>
    <w:p w14:paraId="61CCE400" w14:textId="75CBC5A0" w:rsidR="00E80009" w:rsidRDefault="00373937" w:rsidP="00347FC1">
      <w:pPr>
        <w:pStyle w:val="Heading3"/>
        <w:spacing w:line="360" w:lineRule="auto"/>
        <w:ind w:firstLine="851"/>
        <w:jc w:val="both"/>
        <w:rPr>
          <w:rFonts w:ascii="Times New Roman" w:hAnsi="Times New Roman" w:cs="Times New Roman"/>
          <w:sz w:val="28"/>
          <w:szCs w:val="28"/>
        </w:rPr>
      </w:pPr>
      <w:bookmarkStart w:id="9" w:name="_Toc15480927"/>
      <w:r w:rsidRPr="00D3491A">
        <w:rPr>
          <w:rFonts w:ascii="Times New Roman" w:hAnsi="Times New Roman" w:cs="Times New Roman"/>
          <w:b/>
          <w:sz w:val="28"/>
          <w:szCs w:val="28"/>
          <w:u w:val="single"/>
        </w:rPr>
        <w:t>Dzīvojamo ēku</w:t>
      </w:r>
      <w:r w:rsidR="00D3491A" w:rsidRPr="00D3491A">
        <w:rPr>
          <w:rFonts w:ascii="Times New Roman" w:hAnsi="Times New Roman" w:cs="Times New Roman"/>
          <w:b/>
          <w:sz w:val="28"/>
          <w:szCs w:val="28"/>
          <w:u w:val="single"/>
        </w:rPr>
        <w:t xml:space="preserve"> būvniecības</w:t>
      </w:r>
      <w:r w:rsidRPr="00D3491A">
        <w:rPr>
          <w:rFonts w:ascii="Times New Roman" w:hAnsi="Times New Roman" w:cs="Times New Roman"/>
          <w:b/>
          <w:sz w:val="28"/>
          <w:szCs w:val="28"/>
          <w:u w:val="single"/>
        </w:rPr>
        <w:t xml:space="preserve"> apakšnozar</w:t>
      </w:r>
      <w:r w:rsidR="00E80009">
        <w:rPr>
          <w:rFonts w:ascii="Times New Roman" w:hAnsi="Times New Roman" w:cs="Times New Roman"/>
          <w:b/>
          <w:sz w:val="28"/>
          <w:szCs w:val="28"/>
          <w:u w:val="single"/>
        </w:rPr>
        <w:t>e</w:t>
      </w:r>
      <w:bookmarkEnd w:id="9"/>
      <w:r w:rsidRPr="00230F81">
        <w:rPr>
          <w:rFonts w:ascii="Times New Roman" w:hAnsi="Times New Roman" w:cs="Times New Roman"/>
          <w:sz w:val="28"/>
          <w:szCs w:val="28"/>
        </w:rPr>
        <w:t xml:space="preserve"> </w:t>
      </w:r>
    </w:p>
    <w:p w14:paraId="1B5F9010" w14:textId="10C63BBB" w:rsidR="00955C4A" w:rsidRDefault="00E80009" w:rsidP="00B31E6E">
      <w:pPr>
        <w:spacing w:after="0"/>
        <w:ind w:firstLine="851"/>
        <w:jc w:val="both"/>
        <w:rPr>
          <w:rFonts w:ascii="Times New Roman" w:hAnsi="Times New Roman"/>
          <w:sz w:val="28"/>
          <w:szCs w:val="28"/>
        </w:rPr>
      </w:pPr>
      <w:r w:rsidRPr="00114E62">
        <w:rPr>
          <w:rFonts w:ascii="Times New Roman" w:hAnsi="Times New Roman" w:cs="Times New Roman"/>
          <w:sz w:val="28"/>
          <w:szCs w:val="28"/>
        </w:rPr>
        <w:t xml:space="preserve">Dzīvojamo ēku būvniecības apakšnozarē </w:t>
      </w:r>
      <w:r w:rsidR="00114E62" w:rsidRPr="00230F81">
        <w:rPr>
          <w:rFonts w:ascii="Times New Roman" w:hAnsi="Times New Roman" w:cs="Times New Roman"/>
          <w:sz w:val="28"/>
          <w:szCs w:val="28"/>
        </w:rPr>
        <w:t xml:space="preserve">periodā no </w:t>
      </w:r>
      <w:r w:rsidR="00114E62" w:rsidRPr="00230F81">
        <w:rPr>
          <w:rFonts w:ascii="Times New Roman" w:hAnsi="Times New Roman" w:cs="Times New Roman"/>
          <w:bCs/>
          <w:sz w:val="28"/>
          <w:szCs w:val="28"/>
        </w:rPr>
        <w:t>2019. līdz 2023.gadam,</w:t>
      </w:r>
      <w:r w:rsidR="00114E62" w:rsidRPr="00230F81">
        <w:rPr>
          <w:rFonts w:ascii="Times New Roman" w:hAnsi="Times New Roman" w:cs="Times New Roman"/>
          <w:sz w:val="28"/>
          <w:szCs w:val="28"/>
        </w:rPr>
        <w:t xml:space="preserve"> prognozējams būvniecības produkcijas apjoma pieaugums, kumulatīvās izmaiņas </w:t>
      </w:r>
      <w:r w:rsidR="00114E62" w:rsidRPr="00114E62">
        <w:rPr>
          <w:rFonts w:ascii="Times New Roman" w:hAnsi="Times New Roman" w:cs="Times New Roman"/>
          <w:b/>
          <w:sz w:val="28"/>
          <w:szCs w:val="28"/>
        </w:rPr>
        <w:t>pret 2018.gadu</w:t>
      </w:r>
      <w:r w:rsidR="00114E62" w:rsidRPr="00230F81">
        <w:rPr>
          <w:rFonts w:ascii="Times New Roman" w:hAnsi="Times New Roman" w:cs="Times New Roman"/>
          <w:sz w:val="28"/>
          <w:szCs w:val="28"/>
        </w:rPr>
        <w:t xml:space="preserve"> paredz pieaugumu 2019.gadā par 7,6%,</w:t>
      </w:r>
      <w:r w:rsidR="00114E62">
        <w:rPr>
          <w:rFonts w:ascii="Times New Roman" w:hAnsi="Times New Roman" w:cs="Times New Roman"/>
          <w:sz w:val="28"/>
          <w:szCs w:val="28"/>
        </w:rPr>
        <w:t xml:space="preserve"> </w:t>
      </w:r>
      <w:r w:rsidR="00373937" w:rsidRPr="00230F81">
        <w:rPr>
          <w:rFonts w:ascii="Times New Roman" w:hAnsi="Times New Roman" w:cs="Times New Roman"/>
          <w:sz w:val="28"/>
          <w:szCs w:val="28"/>
        </w:rPr>
        <w:t xml:space="preserve">2020.gadā par 25,6%, 2021.gadā par 35,7%, 2022.gadā par 25,1% un 2023.gadā par 34% </w:t>
      </w:r>
      <w:r w:rsidR="00373937" w:rsidRPr="00230F81">
        <w:rPr>
          <w:rStyle w:val="st"/>
          <w:rFonts w:ascii="Times New Roman" w:hAnsi="Times New Roman" w:cs="Times New Roman"/>
          <w:sz w:val="28"/>
          <w:szCs w:val="28"/>
        </w:rPr>
        <w:t>(skatīt attēlu Nr.</w:t>
      </w:r>
      <w:r w:rsidR="00220277">
        <w:rPr>
          <w:rStyle w:val="st"/>
          <w:rFonts w:ascii="Times New Roman" w:hAnsi="Times New Roman" w:cs="Times New Roman"/>
          <w:sz w:val="28"/>
          <w:szCs w:val="28"/>
        </w:rPr>
        <w:t>3</w:t>
      </w:r>
      <w:r w:rsidR="00373937" w:rsidRPr="00230F81">
        <w:rPr>
          <w:rStyle w:val="st"/>
          <w:rFonts w:ascii="Times New Roman" w:hAnsi="Times New Roman" w:cs="Times New Roman"/>
          <w:sz w:val="28"/>
          <w:szCs w:val="28"/>
        </w:rPr>
        <w:t>)</w:t>
      </w:r>
      <w:r w:rsidR="00373937" w:rsidRPr="00230F81">
        <w:rPr>
          <w:rFonts w:ascii="Times New Roman" w:hAnsi="Times New Roman"/>
          <w:sz w:val="28"/>
          <w:szCs w:val="28"/>
        </w:rPr>
        <w:t>.</w:t>
      </w:r>
    </w:p>
    <w:p w14:paraId="4E3C05AB" w14:textId="6B86CF65" w:rsidR="00B31E6E" w:rsidRDefault="00B31E6E" w:rsidP="00B31E6E">
      <w:pPr>
        <w:spacing w:after="0"/>
        <w:ind w:firstLine="851"/>
        <w:jc w:val="both"/>
        <w:rPr>
          <w:rFonts w:ascii="Times New Roman" w:hAnsi="Times New Roman"/>
          <w:sz w:val="28"/>
          <w:szCs w:val="28"/>
        </w:rPr>
      </w:pPr>
    </w:p>
    <w:p w14:paraId="0217124C" w14:textId="77777777" w:rsidR="00B31E6E" w:rsidRPr="00114E62" w:rsidRDefault="00B31E6E" w:rsidP="005E5098">
      <w:pPr>
        <w:spacing w:line="240" w:lineRule="auto"/>
        <w:ind w:left="324"/>
        <w:jc w:val="center"/>
        <w:rPr>
          <w:rFonts w:ascii="Times New Roman" w:hAnsi="Times New Roman" w:cs="Times New Roman"/>
          <w:b/>
          <w:bCs/>
          <w:i/>
          <w:iCs/>
          <w:sz w:val="24"/>
          <w:szCs w:val="24"/>
        </w:rPr>
      </w:pPr>
      <w:r w:rsidRPr="00114E62">
        <w:rPr>
          <w:rFonts w:ascii="Times New Roman" w:hAnsi="Times New Roman" w:cs="Times New Roman"/>
          <w:b/>
          <w:i/>
          <w:iCs/>
          <w:sz w:val="24"/>
          <w:szCs w:val="24"/>
        </w:rPr>
        <w:t>Attēls Nr.</w:t>
      </w:r>
      <w:r>
        <w:rPr>
          <w:rFonts w:ascii="Times New Roman" w:hAnsi="Times New Roman" w:cs="Times New Roman"/>
          <w:b/>
          <w:i/>
          <w:iCs/>
          <w:sz w:val="24"/>
          <w:szCs w:val="24"/>
        </w:rPr>
        <w:t>3</w:t>
      </w:r>
      <w:r w:rsidRPr="00114E62">
        <w:rPr>
          <w:rFonts w:ascii="Times New Roman" w:hAnsi="Times New Roman" w:cs="Times New Roman"/>
          <w:b/>
          <w:i/>
          <w:iCs/>
          <w:sz w:val="24"/>
          <w:szCs w:val="24"/>
        </w:rPr>
        <w:t>.</w:t>
      </w:r>
      <w:r w:rsidRPr="00114E62">
        <w:rPr>
          <w:rFonts w:ascii="Times New Roman" w:hAnsi="Times New Roman" w:cs="Times New Roman"/>
          <w:b/>
          <w:sz w:val="24"/>
          <w:szCs w:val="24"/>
        </w:rPr>
        <w:t xml:space="preserve"> </w:t>
      </w:r>
      <w:bookmarkStart w:id="10" w:name="_Hlk13670789"/>
      <w:r w:rsidRPr="00114E62">
        <w:rPr>
          <w:rFonts w:ascii="Times New Roman" w:hAnsi="Times New Roman" w:cs="Times New Roman"/>
          <w:b/>
          <w:i/>
          <w:iCs/>
          <w:sz w:val="24"/>
          <w:szCs w:val="24"/>
        </w:rPr>
        <w:t xml:space="preserve">Kombinētā dzīvojamo ēku būvniecības produkcijas apjoma prognoze, </w:t>
      </w:r>
      <w:r w:rsidRPr="00114E62">
        <w:rPr>
          <w:rFonts w:ascii="Times New Roman" w:hAnsi="Times New Roman" w:cs="Times New Roman"/>
          <w:b/>
          <w:bCs/>
          <w:i/>
          <w:iCs/>
          <w:sz w:val="24"/>
          <w:szCs w:val="24"/>
        </w:rPr>
        <w:t>% pret iepriekšējo gadu</w:t>
      </w:r>
    </w:p>
    <w:bookmarkEnd w:id="10"/>
    <w:p w14:paraId="2DCF3AFF" w14:textId="7BE9B403" w:rsidR="00B31E6E" w:rsidRDefault="00B31E6E" w:rsidP="005E5098">
      <w:pPr>
        <w:spacing w:after="0"/>
        <w:jc w:val="center"/>
        <w:rPr>
          <w:rFonts w:ascii="Times New Roman" w:hAnsi="Times New Roman"/>
          <w:sz w:val="28"/>
          <w:szCs w:val="28"/>
        </w:rPr>
      </w:pPr>
      <w:r w:rsidRPr="00B2521E">
        <w:rPr>
          <w:bCs/>
          <w:noProof/>
        </w:rPr>
        <w:drawing>
          <wp:inline distT="0" distB="0" distL="0" distR="0" wp14:anchorId="1E0F5849" wp14:editId="7E4F91A2">
            <wp:extent cx="5209914" cy="3049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1034" cy="3126663"/>
                    </a:xfrm>
                    <a:prstGeom prst="rect">
                      <a:avLst/>
                    </a:prstGeom>
                    <a:noFill/>
                  </pic:spPr>
                </pic:pic>
              </a:graphicData>
            </a:graphic>
          </wp:inline>
        </w:drawing>
      </w:r>
    </w:p>
    <w:p w14:paraId="4FABDAAA" w14:textId="44BA613F" w:rsidR="00B31E6E" w:rsidRDefault="00B31E6E" w:rsidP="005E5098">
      <w:pPr>
        <w:ind w:firstLine="426"/>
        <w:jc w:val="both"/>
        <w:rPr>
          <w:rFonts w:ascii="Times New Roman" w:hAnsi="Times New Roman" w:cs="Times New Roman"/>
          <w:bCs/>
          <w:sz w:val="20"/>
        </w:rPr>
      </w:pPr>
      <w:r w:rsidRPr="00784CE1">
        <w:rPr>
          <w:rFonts w:ascii="Times New Roman" w:hAnsi="Times New Roman" w:cs="Times New Roman"/>
          <w:bCs/>
          <w:sz w:val="20"/>
        </w:rPr>
        <w:t>Avots: Pētījums</w:t>
      </w:r>
    </w:p>
    <w:p w14:paraId="3D31973D" w14:textId="77777777" w:rsidR="00B31E6E" w:rsidRDefault="00B31E6E">
      <w:pPr>
        <w:rPr>
          <w:rFonts w:ascii="Times New Roman" w:hAnsi="Times New Roman" w:cs="Times New Roman"/>
          <w:bCs/>
          <w:sz w:val="20"/>
        </w:rPr>
      </w:pPr>
      <w:r>
        <w:rPr>
          <w:rFonts w:ascii="Times New Roman" w:hAnsi="Times New Roman" w:cs="Times New Roman"/>
          <w:bCs/>
          <w:sz w:val="20"/>
        </w:rPr>
        <w:br w:type="page"/>
      </w:r>
    </w:p>
    <w:p w14:paraId="2648ACBD" w14:textId="77777777" w:rsidR="00461A80" w:rsidRPr="005B45EE" w:rsidRDefault="00461A80" w:rsidP="00347FC1">
      <w:pPr>
        <w:pStyle w:val="Heading3"/>
        <w:spacing w:line="360" w:lineRule="auto"/>
        <w:ind w:left="567" w:firstLine="284"/>
        <w:rPr>
          <w:rFonts w:ascii="Times New Roman" w:hAnsi="Times New Roman" w:cs="Times New Roman"/>
          <w:b/>
          <w:sz w:val="28"/>
          <w:szCs w:val="28"/>
          <w:u w:val="single"/>
        </w:rPr>
      </w:pPr>
      <w:bookmarkStart w:id="11" w:name="_Toc15480928"/>
      <w:r w:rsidRPr="005B45EE">
        <w:rPr>
          <w:rFonts w:ascii="Times New Roman" w:hAnsi="Times New Roman" w:cs="Times New Roman"/>
          <w:b/>
          <w:sz w:val="28"/>
          <w:szCs w:val="28"/>
          <w:u w:val="single"/>
        </w:rPr>
        <w:lastRenderedPageBreak/>
        <w:t>Nedzīvojamo ēku būvniecības apakšnozare</w:t>
      </w:r>
      <w:bookmarkEnd w:id="11"/>
    </w:p>
    <w:p w14:paraId="4D179731" w14:textId="1FD3F0C0" w:rsidR="00461A80" w:rsidRDefault="00461A80" w:rsidP="00347FC1">
      <w:pPr>
        <w:spacing w:after="0"/>
        <w:ind w:firstLine="851"/>
        <w:rPr>
          <w:rFonts w:ascii="Times New Roman" w:hAnsi="Times New Roman"/>
          <w:sz w:val="28"/>
          <w:szCs w:val="28"/>
        </w:rPr>
      </w:pPr>
      <w:r w:rsidRPr="00784CE1">
        <w:rPr>
          <w:rFonts w:ascii="Times New Roman" w:hAnsi="Times New Roman" w:cs="Times New Roman"/>
          <w:sz w:val="28"/>
          <w:szCs w:val="28"/>
        </w:rPr>
        <w:t>Dzīvojamo un nedzīvojamo ēku sektoros prognozes uzrāda ļoti līdzīgu apjoma dinamiku</w:t>
      </w:r>
      <w:r>
        <w:rPr>
          <w:rFonts w:ascii="Times New Roman" w:hAnsi="Times New Roman" w:cs="Times New Roman"/>
          <w:sz w:val="28"/>
          <w:szCs w:val="28"/>
        </w:rPr>
        <w:t xml:space="preserve">. </w:t>
      </w:r>
      <w:r w:rsidRPr="005B45EE">
        <w:rPr>
          <w:rFonts w:ascii="Times New Roman" w:hAnsi="Times New Roman" w:cs="Times New Roman"/>
          <w:sz w:val="28"/>
          <w:szCs w:val="28"/>
        </w:rPr>
        <w:t>Nedzīvojamo ēku</w:t>
      </w:r>
      <w:r>
        <w:rPr>
          <w:rFonts w:ascii="Times New Roman" w:hAnsi="Times New Roman" w:cs="Times New Roman"/>
          <w:sz w:val="28"/>
          <w:szCs w:val="28"/>
        </w:rPr>
        <w:t xml:space="preserve"> būvniecības</w:t>
      </w:r>
      <w:r w:rsidRPr="005B45EE">
        <w:rPr>
          <w:rFonts w:ascii="Times New Roman" w:hAnsi="Times New Roman" w:cs="Times New Roman"/>
          <w:sz w:val="28"/>
          <w:szCs w:val="28"/>
        </w:rPr>
        <w:t xml:space="preserve"> apakšnozarē</w:t>
      </w:r>
      <w:r w:rsidRPr="008E40C5">
        <w:rPr>
          <w:rFonts w:ascii="Times New Roman" w:hAnsi="Times New Roman" w:cs="Times New Roman"/>
          <w:sz w:val="28"/>
          <w:szCs w:val="28"/>
        </w:rPr>
        <w:t xml:space="preserve">, periodā no </w:t>
      </w:r>
      <w:r w:rsidRPr="008E40C5">
        <w:rPr>
          <w:rFonts w:ascii="Times New Roman" w:hAnsi="Times New Roman" w:cs="Times New Roman"/>
          <w:bCs/>
          <w:sz w:val="28"/>
          <w:szCs w:val="28"/>
        </w:rPr>
        <w:t>2019. līdz 2023.gadam, arī</w:t>
      </w:r>
      <w:r w:rsidRPr="008E40C5">
        <w:rPr>
          <w:rFonts w:ascii="Times New Roman" w:hAnsi="Times New Roman" w:cs="Times New Roman"/>
          <w:sz w:val="28"/>
          <w:szCs w:val="28"/>
        </w:rPr>
        <w:t xml:space="preserve"> prognozējams būvniecības  produkcijas apjoma pieaugums, attiecīgi 2019.gadā kumulatīvās izmaiņas pret 2018.gadu uzrāda palielinājumu par </w:t>
      </w:r>
      <w:r w:rsidRPr="008E40C5">
        <w:rPr>
          <w:rFonts w:ascii="Times New Roman" w:hAnsi="Times New Roman" w:cs="Times New Roman"/>
          <w:bCs/>
          <w:sz w:val="28"/>
          <w:szCs w:val="28"/>
        </w:rPr>
        <w:t>8,1%</w:t>
      </w:r>
      <w:r w:rsidRPr="008E40C5">
        <w:rPr>
          <w:rFonts w:ascii="Times New Roman" w:hAnsi="Times New Roman" w:cs="Times New Roman"/>
          <w:sz w:val="28"/>
          <w:szCs w:val="28"/>
        </w:rPr>
        <w:t xml:space="preserve">, 2020.gadā par 27%, 2021.gadā par 37,3%, 2022.gadā par 25,1% un 2023.gadā pieaugums par 32,8% </w:t>
      </w:r>
      <w:r w:rsidRPr="008E40C5">
        <w:rPr>
          <w:rStyle w:val="st"/>
          <w:rFonts w:ascii="Times New Roman" w:hAnsi="Times New Roman" w:cs="Times New Roman"/>
          <w:sz w:val="28"/>
          <w:szCs w:val="28"/>
        </w:rPr>
        <w:t>(skatīt attēlu Nr.</w:t>
      </w:r>
      <w:r>
        <w:rPr>
          <w:rStyle w:val="st"/>
          <w:rFonts w:ascii="Times New Roman" w:hAnsi="Times New Roman" w:cs="Times New Roman"/>
          <w:sz w:val="28"/>
          <w:szCs w:val="28"/>
        </w:rPr>
        <w:t>4</w:t>
      </w:r>
      <w:r w:rsidRPr="008E40C5">
        <w:rPr>
          <w:rStyle w:val="st"/>
          <w:rFonts w:ascii="Times New Roman" w:hAnsi="Times New Roman" w:cs="Times New Roman"/>
          <w:sz w:val="28"/>
          <w:szCs w:val="28"/>
        </w:rPr>
        <w:t>)</w:t>
      </w:r>
      <w:r w:rsidRPr="008E40C5">
        <w:rPr>
          <w:rFonts w:ascii="Times New Roman" w:hAnsi="Times New Roman"/>
          <w:sz w:val="28"/>
          <w:szCs w:val="28"/>
        </w:rPr>
        <w:t xml:space="preserve">. </w:t>
      </w:r>
    </w:p>
    <w:p w14:paraId="20C7B5C7" w14:textId="77777777" w:rsidR="00347FC1" w:rsidRDefault="00347FC1" w:rsidP="00347FC1">
      <w:pPr>
        <w:spacing w:after="0"/>
        <w:ind w:firstLine="851"/>
        <w:rPr>
          <w:rFonts w:ascii="Times New Roman" w:hAnsi="Times New Roman"/>
          <w:sz w:val="28"/>
          <w:szCs w:val="28"/>
        </w:rPr>
      </w:pPr>
    </w:p>
    <w:p w14:paraId="3AEB2743" w14:textId="79A4550B" w:rsidR="00461A80" w:rsidRPr="005E5098" w:rsidRDefault="00461A80" w:rsidP="005E5098">
      <w:pPr>
        <w:ind w:right="-1"/>
        <w:jc w:val="center"/>
        <w:rPr>
          <w:rFonts w:ascii="Times New Roman" w:hAnsi="Times New Roman" w:cs="Times New Roman"/>
          <w:b/>
          <w:bCs/>
          <w:i/>
          <w:iCs/>
          <w:sz w:val="24"/>
          <w:szCs w:val="24"/>
        </w:rPr>
      </w:pPr>
      <w:r w:rsidRPr="005E5098">
        <w:rPr>
          <w:rFonts w:ascii="Times New Roman" w:hAnsi="Times New Roman" w:cs="Times New Roman"/>
          <w:b/>
          <w:bCs/>
          <w:i/>
          <w:iCs/>
          <w:sz w:val="24"/>
          <w:szCs w:val="24"/>
        </w:rPr>
        <w:t>Attēls Nr.4.</w:t>
      </w:r>
      <w:r w:rsidRPr="005E5098">
        <w:rPr>
          <w:rFonts w:ascii="Times New Roman" w:hAnsi="Times New Roman" w:cs="Times New Roman"/>
          <w:b/>
          <w:bCs/>
          <w:sz w:val="24"/>
          <w:szCs w:val="24"/>
        </w:rPr>
        <w:t xml:space="preserve"> </w:t>
      </w:r>
      <w:r w:rsidRPr="005E5098">
        <w:rPr>
          <w:rFonts w:ascii="Times New Roman" w:hAnsi="Times New Roman" w:cs="Times New Roman"/>
          <w:b/>
          <w:bCs/>
          <w:i/>
          <w:iCs/>
          <w:sz w:val="24"/>
          <w:szCs w:val="24"/>
        </w:rPr>
        <w:t>Būvniecības produkcijas apjoma izmaiņas nedzīvojamo ēku apakšnozarē līdz 2018.gadam un prognozes no 2019. līdz 2023.gadam, kumulatīvās izmaiņas pret 2018.gadu, %</w:t>
      </w:r>
    </w:p>
    <w:p w14:paraId="1CF396FF" w14:textId="47ACE16E" w:rsidR="00461A80" w:rsidRDefault="00461A80" w:rsidP="00347FC1">
      <w:pPr>
        <w:spacing w:after="0"/>
        <w:jc w:val="center"/>
        <w:rPr>
          <w:rFonts w:ascii="Times New Roman" w:hAnsi="Times New Roman" w:cs="Times New Roman"/>
          <w:b/>
          <w:bCs/>
          <w:i/>
          <w:iCs/>
          <w:sz w:val="24"/>
          <w:szCs w:val="24"/>
        </w:rPr>
      </w:pPr>
      <w:r w:rsidRPr="00B2521E">
        <w:rPr>
          <w:noProof/>
        </w:rPr>
        <w:drawing>
          <wp:inline distT="0" distB="0" distL="0" distR="0" wp14:anchorId="07170907" wp14:editId="12A9B43E">
            <wp:extent cx="5735117" cy="35934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468" cy="3611229"/>
                    </a:xfrm>
                    <a:prstGeom prst="rect">
                      <a:avLst/>
                    </a:prstGeom>
                    <a:noFill/>
                  </pic:spPr>
                </pic:pic>
              </a:graphicData>
            </a:graphic>
          </wp:inline>
        </w:drawing>
      </w:r>
    </w:p>
    <w:p w14:paraId="33ED5057" w14:textId="77777777" w:rsidR="00347FC1" w:rsidRDefault="00347FC1" w:rsidP="00347FC1">
      <w:pPr>
        <w:spacing w:after="0"/>
        <w:jc w:val="both"/>
        <w:rPr>
          <w:rFonts w:ascii="Times New Roman" w:hAnsi="Times New Roman" w:cs="Times New Roman"/>
          <w:bCs/>
          <w:sz w:val="20"/>
        </w:rPr>
      </w:pPr>
      <w:r w:rsidRPr="00784CE1">
        <w:rPr>
          <w:rFonts w:ascii="Times New Roman" w:hAnsi="Times New Roman" w:cs="Times New Roman"/>
          <w:bCs/>
          <w:sz w:val="20"/>
        </w:rPr>
        <w:t>Avots: Pētījums</w:t>
      </w:r>
    </w:p>
    <w:p w14:paraId="4E512395" w14:textId="77777777" w:rsidR="00347FC1" w:rsidRDefault="00347FC1" w:rsidP="00347FC1">
      <w:pPr>
        <w:spacing w:after="0"/>
        <w:jc w:val="both"/>
        <w:rPr>
          <w:rFonts w:ascii="Times New Roman" w:hAnsi="Times New Roman" w:cs="Times New Roman"/>
          <w:b/>
          <w:bCs/>
          <w:i/>
          <w:iCs/>
          <w:sz w:val="24"/>
          <w:szCs w:val="24"/>
        </w:rPr>
      </w:pPr>
    </w:p>
    <w:p w14:paraId="2177761D" w14:textId="0AC4CCA2" w:rsidR="005B45EE" w:rsidRPr="00784CE1" w:rsidRDefault="00F9205D" w:rsidP="00347FC1">
      <w:pPr>
        <w:ind w:firstLine="851"/>
        <w:jc w:val="both"/>
        <w:rPr>
          <w:rFonts w:ascii="Times New Roman" w:hAnsi="Times New Roman" w:cs="Times New Roman"/>
          <w:sz w:val="28"/>
          <w:szCs w:val="28"/>
        </w:rPr>
      </w:pPr>
      <w:r>
        <w:rPr>
          <w:rFonts w:ascii="Times New Roman" w:hAnsi="Times New Roman" w:cs="Times New Roman"/>
          <w:sz w:val="28"/>
          <w:szCs w:val="28"/>
        </w:rPr>
        <w:t>S</w:t>
      </w:r>
      <w:r w:rsidR="005B45EE" w:rsidRPr="00784CE1">
        <w:rPr>
          <w:rFonts w:ascii="Times New Roman" w:hAnsi="Times New Roman" w:cs="Times New Roman"/>
          <w:sz w:val="28"/>
          <w:szCs w:val="28"/>
        </w:rPr>
        <w:t>tatistiskais trends kopumā uzrāda svārstīgākas prognozes nekā ekspertu vērtējumi. Kamēr ekspertu vērtējumi uzrāda 4% - 12% pieaugumu, statistiskais trends paredz būtisku pieaugumu 2020. gadā un būtisku kritumu 2022. gadā. Tādēļ ir svarīgi ņemt vērā krituma iespējamību šajos gados, kas lielā mērā būs atkarīga no papildu iecerēm publiskajā sektorā un es fondu apguves jaunajā plānošanas periodā.</w:t>
      </w:r>
      <w:r>
        <w:rPr>
          <w:rFonts w:ascii="Times New Roman" w:hAnsi="Times New Roman" w:cs="Times New Roman"/>
          <w:sz w:val="28"/>
          <w:szCs w:val="28"/>
        </w:rPr>
        <w:t xml:space="preserve"> </w:t>
      </w:r>
    </w:p>
    <w:p w14:paraId="6749353C" w14:textId="436B99D3" w:rsidR="005B45EE" w:rsidRPr="00F9205D" w:rsidRDefault="00F9205D" w:rsidP="00347FC1">
      <w:pPr>
        <w:pStyle w:val="Heading3"/>
        <w:spacing w:line="360" w:lineRule="auto"/>
        <w:ind w:left="567" w:firstLine="284"/>
        <w:rPr>
          <w:rFonts w:ascii="Times New Roman" w:hAnsi="Times New Roman"/>
          <w:b/>
          <w:sz w:val="28"/>
          <w:szCs w:val="28"/>
          <w:u w:val="single"/>
        </w:rPr>
      </w:pPr>
      <w:bookmarkStart w:id="12" w:name="_Toc15480929"/>
      <w:r w:rsidRPr="00F9205D">
        <w:rPr>
          <w:rFonts w:ascii="Times New Roman" w:hAnsi="Times New Roman"/>
          <w:b/>
          <w:sz w:val="28"/>
          <w:szCs w:val="28"/>
          <w:u w:val="single"/>
        </w:rPr>
        <w:lastRenderedPageBreak/>
        <w:t>Transportbūvju būvniecības apakšnozare</w:t>
      </w:r>
      <w:bookmarkEnd w:id="12"/>
    </w:p>
    <w:p w14:paraId="0BD63BE9" w14:textId="77777777" w:rsidR="00E23FEC" w:rsidRDefault="00E23FEC" w:rsidP="00E23FEC">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Transportbūvju būvniecības apakšnozares būvniecības apjomu prognozes ir izstrādātas balstoties uz šīs apakšnozares jomu – autoceļu un tiltu (turpmāk – autoceļi) un dzelzceļa infrastruktūras būvniecības apjomiem, kuru pamatā ir gan statistisko datu trends, gan būvniecības ekspertu prognozes, gan Ekonomikas ministrijas apkopoti dati par publiskajām būvniecības iecerēm dzelzceļa un autoceļu būvniecības jomās, kas uzskatāmi parāda apjomu izmaiņu dinamiku šajās jomās.</w:t>
      </w:r>
    </w:p>
    <w:p w14:paraId="34C4FE36" w14:textId="77777777" w:rsidR="00E23FEC" w:rsidRDefault="00E23FEC" w:rsidP="00E23FEC">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Autoceļu infrastruktūras būvniecības jomā prognozējams straujš apjoma kritums, kas sāksies jau 2020.gadā. Autoceļu infrastruktūras b</w:t>
      </w:r>
      <w:r w:rsidRPr="00743604">
        <w:rPr>
          <w:rFonts w:ascii="Times New Roman" w:hAnsi="Times New Roman" w:cs="Times New Roman"/>
          <w:sz w:val="28"/>
          <w:szCs w:val="28"/>
        </w:rPr>
        <w:t xml:space="preserve">ūvniecības </w:t>
      </w:r>
      <w:r w:rsidRPr="00826639">
        <w:rPr>
          <w:rFonts w:ascii="Times New Roman" w:hAnsi="Times New Roman" w:cs="Times New Roman"/>
          <w:sz w:val="28"/>
          <w:szCs w:val="28"/>
        </w:rPr>
        <w:t>produkcijas apjoma kumulatīvās izmaiņas pret 2018.gadu paredz nelielu pieaugumu 2019. par 4.2% un kritumu 2020.gadā par 12.6%, 2021.gadā par 29.7%, 2022.gadā par 32.3% un 2023.apjomu kritums nedaudz samazināsies un būs 24.5%. (skatīt attēlus Nr</w:t>
      </w:r>
      <w:r>
        <w:rPr>
          <w:rFonts w:ascii="Times New Roman" w:hAnsi="Times New Roman" w:cs="Times New Roman"/>
          <w:sz w:val="28"/>
          <w:szCs w:val="28"/>
        </w:rPr>
        <w:t>. 5.). Šī prognoze ir balstīta gan uz statistisko datu trendu, gan ekspertu vērtējumiem, kas veikti balstoties uz publisko autoceļu infrastruktūras būvniecības ieceru apkopojumu (skatīt attēlu Nr.6.).</w:t>
      </w:r>
    </w:p>
    <w:p w14:paraId="045929AC" w14:textId="77777777" w:rsidR="00E23FEC" w:rsidRPr="00E23FEC" w:rsidRDefault="00E23FEC" w:rsidP="00E23FEC">
      <w:pPr>
        <w:spacing w:after="0" w:line="276" w:lineRule="auto"/>
        <w:ind w:firstLine="567"/>
        <w:jc w:val="center"/>
        <w:rPr>
          <w:rFonts w:ascii="Times New Roman" w:hAnsi="Times New Roman" w:cs="Times New Roman"/>
          <w:b/>
          <w:bCs/>
          <w:i/>
          <w:iCs/>
          <w:sz w:val="24"/>
          <w:szCs w:val="24"/>
        </w:rPr>
      </w:pPr>
    </w:p>
    <w:p w14:paraId="6BA06CF8" w14:textId="77777777" w:rsidR="00E23FEC" w:rsidRDefault="00E23FEC" w:rsidP="00E23FEC">
      <w:pPr>
        <w:spacing w:after="0" w:line="276" w:lineRule="auto"/>
        <w:ind w:firstLine="567"/>
        <w:jc w:val="center"/>
        <w:rPr>
          <w:rFonts w:ascii="Times New Roman" w:hAnsi="Times New Roman" w:cs="Times New Roman"/>
          <w:sz w:val="28"/>
          <w:szCs w:val="28"/>
        </w:rPr>
      </w:pPr>
      <w:r w:rsidRPr="000E67F9">
        <w:rPr>
          <w:rFonts w:ascii="Times New Roman" w:hAnsi="Times New Roman" w:cs="Times New Roman"/>
          <w:b/>
          <w:bCs/>
          <w:i/>
          <w:iCs/>
          <w:sz w:val="24"/>
          <w:szCs w:val="24"/>
        </w:rPr>
        <w:t>Attēls Nr.</w:t>
      </w:r>
      <w:r>
        <w:rPr>
          <w:rFonts w:ascii="Times New Roman" w:hAnsi="Times New Roman" w:cs="Times New Roman"/>
          <w:b/>
          <w:bCs/>
          <w:i/>
          <w:iCs/>
          <w:sz w:val="24"/>
          <w:szCs w:val="24"/>
        </w:rPr>
        <w:t>5</w:t>
      </w:r>
      <w:r w:rsidRPr="000E67F9">
        <w:rPr>
          <w:rFonts w:ascii="Times New Roman" w:hAnsi="Times New Roman" w:cs="Times New Roman"/>
          <w:b/>
          <w:bCs/>
          <w:i/>
          <w:iCs/>
          <w:sz w:val="24"/>
          <w:szCs w:val="24"/>
        </w:rPr>
        <w:t xml:space="preserve">. </w:t>
      </w:r>
      <w:r>
        <w:rPr>
          <w:rFonts w:ascii="Times New Roman" w:hAnsi="Times New Roman" w:cs="Times New Roman"/>
          <w:b/>
          <w:bCs/>
          <w:i/>
          <w:iCs/>
          <w:sz w:val="24"/>
          <w:szCs w:val="24"/>
        </w:rPr>
        <w:t>Autoceļu</w:t>
      </w:r>
      <w:r w:rsidRPr="000E67F9">
        <w:rPr>
          <w:rFonts w:ascii="Times New Roman" w:hAnsi="Times New Roman" w:cs="Times New Roman"/>
          <w:b/>
          <w:bCs/>
          <w:i/>
          <w:iCs/>
          <w:sz w:val="24"/>
          <w:szCs w:val="24"/>
        </w:rPr>
        <w:t xml:space="preserve"> infrastruktūras būvniecības </w:t>
      </w:r>
      <w:r>
        <w:rPr>
          <w:rFonts w:ascii="Times New Roman" w:hAnsi="Times New Roman" w:cs="Times New Roman"/>
          <w:b/>
          <w:bCs/>
          <w:i/>
          <w:iCs/>
          <w:sz w:val="24"/>
          <w:szCs w:val="24"/>
        </w:rPr>
        <w:t xml:space="preserve">produkcijas apjoma izmaiņas </w:t>
      </w:r>
      <w:r w:rsidRPr="000E67F9">
        <w:rPr>
          <w:rFonts w:ascii="Times New Roman" w:hAnsi="Times New Roman" w:cs="Times New Roman"/>
          <w:b/>
          <w:bCs/>
          <w:i/>
          <w:iCs/>
          <w:sz w:val="24"/>
          <w:szCs w:val="24"/>
        </w:rPr>
        <w:t>līdz 2018.gadam un prognozes no 2019. līdz 202</w:t>
      </w:r>
      <w:r>
        <w:rPr>
          <w:rFonts w:ascii="Times New Roman" w:hAnsi="Times New Roman" w:cs="Times New Roman"/>
          <w:b/>
          <w:bCs/>
          <w:i/>
          <w:iCs/>
          <w:sz w:val="24"/>
          <w:szCs w:val="24"/>
        </w:rPr>
        <w:t>3</w:t>
      </w:r>
      <w:r w:rsidRPr="000E67F9">
        <w:rPr>
          <w:rFonts w:ascii="Times New Roman" w:hAnsi="Times New Roman" w:cs="Times New Roman"/>
          <w:b/>
          <w:bCs/>
          <w:i/>
          <w:iCs/>
          <w:sz w:val="24"/>
          <w:szCs w:val="24"/>
        </w:rPr>
        <w:t>.gadam pret 201</w:t>
      </w:r>
      <w:r>
        <w:rPr>
          <w:rFonts w:ascii="Times New Roman" w:hAnsi="Times New Roman" w:cs="Times New Roman"/>
          <w:b/>
          <w:bCs/>
          <w:i/>
          <w:iCs/>
          <w:sz w:val="24"/>
          <w:szCs w:val="24"/>
        </w:rPr>
        <w:t>8</w:t>
      </w:r>
      <w:r w:rsidRPr="000E67F9">
        <w:rPr>
          <w:rFonts w:ascii="Times New Roman" w:hAnsi="Times New Roman" w:cs="Times New Roman"/>
          <w:b/>
          <w:bCs/>
          <w:i/>
          <w:iCs/>
          <w:sz w:val="24"/>
          <w:szCs w:val="24"/>
        </w:rPr>
        <w:t>.gadu, %</w:t>
      </w:r>
    </w:p>
    <w:p w14:paraId="04815CDC" w14:textId="77777777" w:rsidR="00E23FEC" w:rsidRDefault="00E23FEC" w:rsidP="00E23FEC">
      <w:pPr>
        <w:spacing w:after="0" w:line="276" w:lineRule="auto"/>
        <w:ind w:firstLine="567"/>
        <w:jc w:val="center"/>
        <w:rPr>
          <w:rFonts w:ascii="Times New Roman" w:hAnsi="Times New Roman" w:cs="Times New Roman"/>
          <w:sz w:val="28"/>
          <w:szCs w:val="28"/>
        </w:rPr>
      </w:pPr>
      <w:r>
        <w:rPr>
          <w:noProof/>
        </w:rPr>
        <w:drawing>
          <wp:inline distT="0" distB="0" distL="0" distR="0" wp14:anchorId="4EF03F3A" wp14:editId="71B6825D">
            <wp:extent cx="5120640" cy="3365589"/>
            <wp:effectExtent l="0" t="0" r="381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5310" cy="3368658"/>
                    </a:xfrm>
                    <a:prstGeom prst="rect">
                      <a:avLst/>
                    </a:prstGeom>
                  </pic:spPr>
                </pic:pic>
              </a:graphicData>
            </a:graphic>
          </wp:inline>
        </w:drawing>
      </w:r>
    </w:p>
    <w:p w14:paraId="71D413A6" w14:textId="77777777" w:rsidR="00E23FEC" w:rsidRPr="00826639" w:rsidRDefault="00E23FEC" w:rsidP="00E23FEC">
      <w:pPr>
        <w:spacing w:after="0" w:line="276" w:lineRule="auto"/>
        <w:ind w:firstLine="142"/>
        <w:jc w:val="both"/>
        <w:rPr>
          <w:rFonts w:ascii="Times New Roman" w:hAnsi="Times New Roman"/>
          <w:sz w:val="20"/>
          <w:szCs w:val="20"/>
        </w:rPr>
      </w:pPr>
      <w:r w:rsidRPr="00826639">
        <w:rPr>
          <w:rFonts w:ascii="Times New Roman" w:hAnsi="Times New Roman"/>
          <w:sz w:val="20"/>
          <w:szCs w:val="20"/>
        </w:rPr>
        <w:t>Avots: Pētījums</w:t>
      </w:r>
    </w:p>
    <w:p w14:paraId="7002BC31" w14:textId="77777777" w:rsidR="00E23FEC" w:rsidRDefault="00E23FEC" w:rsidP="00E23FE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2DC3B688" w14:textId="77777777" w:rsidR="00E23FEC" w:rsidRDefault="00E23FEC" w:rsidP="00E23FEC">
      <w:pPr>
        <w:spacing w:after="0" w:line="276" w:lineRule="auto"/>
        <w:ind w:firstLine="567"/>
        <w:jc w:val="center"/>
        <w:rPr>
          <w:rFonts w:ascii="Times New Roman" w:hAnsi="Times New Roman" w:cs="Times New Roman"/>
          <w:sz w:val="28"/>
          <w:szCs w:val="28"/>
        </w:rPr>
      </w:pPr>
      <w:r w:rsidRPr="000E67F9">
        <w:rPr>
          <w:rFonts w:ascii="Times New Roman" w:hAnsi="Times New Roman" w:cs="Times New Roman"/>
          <w:b/>
          <w:bCs/>
          <w:i/>
          <w:iCs/>
          <w:sz w:val="24"/>
          <w:szCs w:val="24"/>
        </w:rPr>
        <w:lastRenderedPageBreak/>
        <w:t>Attēls Nr.</w:t>
      </w:r>
      <w:r>
        <w:rPr>
          <w:rFonts w:ascii="Times New Roman" w:hAnsi="Times New Roman" w:cs="Times New Roman"/>
          <w:b/>
          <w:bCs/>
          <w:i/>
          <w:iCs/>
          <w:sz w:val="24"/>
          <w:szCs w:val="24"/>
        </w:rPr>
        <w:t>6</w:t>
      </w:r>
      <w:r w:rsidRPr="000E67F9">
        <w:rPr>
          <w:rFonts w:ascii="Times New Roman" w:hAnsi="Times New Roman" w:cs="Times New Roman"/>
          <w:b/>
          <w:bCs/>
          <w:i/>
          <w:iCs/>
          <w:sz w:val="24"/>
          <w:szCs w:val="24"/>
        </w:rPr>
        <w:t xml:space="preserve">. </w:t>
      </w:r>
      <w:r>
        <w:rPr>
          <w:rFonts w:ascii="Times New Roman" w:hAnsi="Times New Roman" w:cs="Times New Roman"/>
          <w:b/>
          <w:bCs/>
          <w:i/>
          <w:iCs/>
          <w:sz w:val="24"/>
          <w:szCs w:val="24"/>
        </w:rPr>
        <w:t>Autoceļu</w:t>
      </w:r>
      <w:r w:rsidRPr="000E67F9">
        <w:rPr>
          <w:rFonts w:ascii="Times New Roman" w:hAnsi="Times New Roman" w:cs="Times New Roman"/>
          <w:b/>
          <w:bCs/>
          <w:i/>
          <w:iCs/>
          <w:sz w:val="24"/>
          <w:szCs w:val="24"/>
        </w:rPr>
        <w:t xml:space="preserve"> infrastruktūras </w:t>
      </w:r>
      <w:r>
        <w:rPr>
          <w:rFonts w:ascii="Times New Roman" w:hAnsi="Times New Roman" w:cs="Times New Roman"/>
          <w:b/>
          <w:bCs/>
          <w:i/>
          <w:iCs/>
          <w:sz w:val="24"/>
          <w:szCs w:val="24"/>
        </w:rPr>
        <w:t>apstiprināto projektu un ieceru būvdarbu apjoms milj. euro</w:t>
      </w:r>
    </w:p>
    <w:p w14:paraId="483E4264" w14:textId="77777777" w:rsidR="00E23FEC" w:rsidRDefault="00E23FEC" w:rsidP="00E23FEC">
      <w:pPr>
        <w:spacing w:after="0" w:line="276" w:lineRule="auto"/>
        <w:ind w:firstLine="567"/>
        <w:jc w:val="center"/>
        <w:rPr>
          <w:rFonts w:ascii="Times New Roman" w:hAnsi="Times New Roman" w:cs="Times New Roman"/>
          <w:sz w:val="28"/>
          <w:szCs w:val="28"/>
        </w:rPr>
      </w:pPr>
      <w:r>
        <w:rPr>
          <w:noProof/>
        </w:rPr>
        <w:drawing>
          <wp:inline distT="0" distB="0" distL="0" distR="0" wp14:anchorId="01B41204" wp14:editId="5721E66F">
            <wp:extent cx="5442509" cy="2779776"/>
            <wp:effectExtent l="0" t="0" r="6350" b="1905"/>
            <wp:docPr id="4" name="Chart 4">
              <a:extLst xmlns:a="http://schemas.openxmlformats.org/drawingml/2006/main">
                <a:ext uri="{FF2B5EF4-FFF2-40B4-BE49-F238E27FC236}">
                  <a16:creationId xmlns:a16="http://schemas.microsoft.com/office/drawing/2014/main" id="{F72277DC-46CA-4EEA-B022-25E208D65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85DF01" w14:textId="77777777" w:rsidR="00E23FEC" w:rsidRPr="00570EE9" w:rsidRDefault="00E23FEC" w:rsidP="00E23FEC">
      <w:pPr>
        <w:suppressAutoHyphens/>
        <w:spacing w:line="276" w:lineRule="auto"/>
        <w:jc w:val="both"/>
        <w:rPr>
          <w:rFonts w:ascii="Times New Roman" w:hAnsi="Times New Roman"/>
          <w:sz w:val="20"/>
          <w:szCs w:val="20"/>
        </w:rPr>
      </w:pPr>
      <w:r w:rsidRPr="00570EE9">
        <w:rPr>
          <w:rFonts w:ascii="Times New Roman" w:hAnsi="Times New Roman"/>
          <w:sz w:val="20"/>
          <w:szCs w:val="20"/>
        </w:rPr>
        <w:t xml:space="preserve">Avots: Ekonomikas ministrijas apkopotie dati </w:t>
      </w:r>
    </w:p>
    <w:p w14:paraId="05C8F9B1" w14:textId="77777777" w:rsidR="00E23FEC" w:rsidRDefault="00E23FEC" w:rsidP="00E23FEC">
      <w:pPr>
        <w:spacing w:after="0" w:line="276" w:lineRule="auto"/>
        <w:ind w:firstLine="567"/>
        <w:jc w:val="both"/>
        <w:rPr>
          <w:rFonts w:ascii="Times New Roman" w:hAnsi="Times New Roman" w:cs="Times New Roman"/>
          <w:sz w:val="28"/>
          <w:szCs w:val="28"/>
        </w:rPr>
      </w:pPr>
    </w:p>
    <w:p w14:paraId="0A1FA3FE" w14:textId="77777777" w:rsidR="00E23FEC" w:rsidRDefault="00E23FEC" w:rsidP="00E23FEC">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Dzelzceļa infrastruktūras būvniecībā</w:t>
      </w:r>
      <w:r w:rsidRPr="00743604">
        <w:rPr>
          <w:rFonts w:ascii="Times New Roman" w:hAnsi="Times New Roman" w:cs="Times New Roman"/>
          <w:sz w:val="28"/>
          <w:szCs w:val="28"/>
        </w:rPr>
        <w:t xml:space="preserve"> prognozējams</w:t>
      </w:r>
      <w:r>
        <w:rPr>
          <w:rFonts w:ascii="Times New Roman" w:hAnsi="Times New Roman" w:cs="Times New Roman"/>
          <w:sz w:val="28"/>
          <w:szCs w:val="28"/>
        </w:rPr>
        <w:t xml:space="preserve"> straujš</w:t>
      </w:r>
      <w:r w:rsidRPr="00743604">
        <w:rPr>
          <w:rFonts w:ascii="Times New Roman" w:hAnsi="Times New Roman" w:cs="Times New Roman"/>
          <w:sz w:val="28"/>
          <w:szCs w:val="28"/>
        </w:rPr>
        <w:t xml:space="preserve"> apjoma pieaugums</w:t>
      </w:r>
      <w:r>
        <w:rPr>
          <w:rFonts w:ascii="Times New Roman" w:hAnsi="Times New Roman" w:cs="Times New Roman"/>
          <w:sz w:val="28"/>
          <w:szCs w:val="28"/>
        </w:rPr>
        <w:t xml:space="preserve"> (skatīt attēlu Nr. 7.). Šī prognoze ir balstīta uz publisko dzelzceļa infrastruktūras būvniecības ieceru apkopojumu (skatīt attēlu Nr.8.), kurā ir iekļauti VAS “Latvijas dzelzceļš” un SIA “Eiropas dzelzceļa līnijas” plānotie dzelzceļa infrastruktūras projekti.</w:t>
      </w:r>
    </w:p>
    <w:p w14:paraId="7AE2EC96" w14:textId="77777777" w:rsidR="00E23FEC" w:rsidRDefault="00E23FEC" w:rsidP="00E23FEC">
      <w:pPr>
        <w:spacing w:after="0" w:line="276" w:lineRule="auto"/>
        <w:ind w:firstLine="567"/>
        <w:jc w:val="both"/>
        <w:rPr>
          <w:rFonts w:ascii="Times New Roman" w:hAnsi="Times New Roman" w:cs="Times New Roman"/>
          <w:sz w:val="28"/>
          <w:szCs w:val="28"/>
        </w:rPr>
      </w:pPr>
    </w:p>
    <w:p w14:paraId="6E9B21DD" w14:textId="77777777" w:rsidR="00E23FEC" w:rsidRDefault="00E23FEC" w:rsidP="00E23FEC">
      <w:pPr>
        <w:spacing w:after="0" w:line="276" w:lineRule="auto"/>
        <w:ind w:firstLine="567"/>
        <w:jc w:val="center"/>
        <w:rPr>
          <w:rFonts w:ascii="Times New Roman" w:hAnsi="Times New Roman" w:cs="Times New Roman"/>
          <w:b/>
          <w:bCs/>
          <w:i/>
          <w:iCs/>
          <w:sz w:val="24"/>
          <w:szCs w:val="24"/>
        </w:rPr>
      </w:pPr>
      <w:r w:rsidRPr="000E67F9">
        <w:rPr>
          <w:rFonts w:ascii="Times New Roman" w:hAnsi="Times New Roman" w:cs="Times New Roman"/>
          <w:b/>
          <w:bCs/>
          <w:i/>
          <w:iCs/>
          <w:sz w:val="24"/>
          <w:szCs w:val="24"/>
        </w:rPr>
        <w:t>Attēls Nr.</w:t>
      </w:r>
      <w:r>
        <w:rPr>
          <w:rFonts w:ascii="Times New Roman" w:hAnsi="Times New Roman" w:cs="Times New Roman"/>
          <w:b/>
          <w:bCs/>
          <w:i/>
          <w:iCs/>
          <w:sz w:val="24"/>
          <w:szCs w:val="24"/>
        </w:rPr>
        <w:t>7</w:t>
      </w:r>
      <w:r w:rsidRPr="000E67F9">
        <w:rPr>
          <w:rFonts w:ascii="Times New Roman" w:hAnsi="Times New Roman" w:cs="Times New Roman"/>
          <w:b/>
          <w:bCs/>
          <w:i/>
          <w:iCs/>
          <w:sz w:val="24"/>
          <w:szCs w:val="24"/>
        </w:rPr>
        <w:t xml:space="preserve">. Dzelzceļa infrastruktūras būvniecības </w:t>
      </w:r>
      <w:r>
        <w:rPr>
          <w:rFonts w:ascii="Times New Roman" w:hAnsi="Times New Roman" w:cs="Times New Roman"/>
          <w:b/>
          <w:bCs/>
          <w:i/>
          <w:iCs/>
          <w:sz w:val="24"/>
          <w:szCs w:val="24"/>
        </w:rPr>
        <w:t xml:space="preserve">produkcijas apjoma izmaiņas </w:t>
      </w:r>
      <w:r w:rsidRPr="000E67F9">
        <w:rPr>
          <w:rFonts w:ascii="Times New Roman" w:hAnsi="Times New Roman" w:cs="Times New Roman"/>
          <w:b/>
          <w:bCs/>
          <w:i/>
          <w:iCs/>
          <w:sz w:val="24"/>
          <w:szCs w:val="24"/>
        </w:rPr>
        <w:t>līdz 2018.gadam un prognozes no 2019. līdz 2022.gadam pret 2015.gadu, %</w:t>
      </w:r>
    </w:p>
    <w:p w14:paraId="506F005D" w14:textId="77777777" w:rsidR="00E23FEC" w:rsidRDefault="00E23FEC" w:rsidP="00E23FEC">
      <w:pPr>
        <w:spacing w:after="0" w:line="276" w:lineRule="auto"/>
        <w:ind w:firstLine="567"/>
        <w:jc w:val="center"/>
        <w:rPr>
          <w:rFonts w:ascii="Times New Roman" w:hAnsi="Times New Roman" w:cs="Times New Roman"/>
          <w:sz w:val="28"/>
          <w:szCs w:val="28"/>
        </w:rPr>
      </w:pPr>
      <w:r>
        <w:rPr>
          <w:noProof/>
        </w:rPr>
        <w:drawing>
          <wp:inline distT="0" distB="0" distL="0" distR="0" wp14:anchorId="1C0AD062" wp14:editId="65E8F59F">
            <wp:extent cx="4813274" cy="3006548"/>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26389" cy="3014740"/>
                    </a:xfrm>
                    <a:prstGeom prst="rect">
                      <a:avLst/>
                    </a:prstGeom>
                  </pic:spPr>
                </pic:pic>
              </a:graphicData>
            </a:graphic>
          </wp:inline>
        </w:drawing>
      </w:r>
    </w:p>
    <w:p w14:paraId="4D6DCAF9" w14:textId="77777777" w:rsidR="00E23FEC" w:rsidRDefault="00E23FEC" w:rsidP="00E23FEC">
      <w:pPr>
        <w:spacing w:after="0" w:line="276" w:lineRule="auto"/>
        <w:ind w:firstLine="142"/>
        <w:jc w:val="both"/>
        <w:rPr>
          <w:rFonts w:ascii="Times New Roman" w:hAnsi="Times New Roman"/>
          <w:sz w:val="20"/>
          <w:szCs w:val="20"/>
        </w:rPr>
      </w:pPr>
      <w:r w:rsidRPr="00826639">
        <w:rPr>
          <w:rFonts w:ascii="Times New Roman" w:hAnsi="Times New Roman"/>
          <w:sz w:val="20"/>
          <w:szCs w:val="20"/>
        </w:rPr>
        <w:t>Avots: Pētījums</w:t>
      </w:r>
      <w:r>
        <w:rPr>
          <w:rFonts w:ascii="Times New Roman" w:hAnsi="Times New Roman"/>
          <w:sz w:val="20"/>
          <w:szCs w:val="20"/>
        </w:rPr>
        <w:br w:type="page"/>
      </w:r>
    </w:p>
    <w:p w14:paraId="08108E79" w14:textId="77777777" w:rsidR="00E23FEC" w:rsidRDefault="00E23FEC" w:rsidP="00E23FEC">
      <w:pPr>
        <w:spacing w:after="0" w:line="276" w:lineRule="auto"/>
        <w:ind w:firstLine="567"/>
        <w:jc w:val="center"/>
        <w:rPr>
          <w:rFonts w:ascii="Times New Roman" w:hAnsi="Times New Roman" w:cs="Times New Roman"/>
          <w:sz w:val="28"/>
          <w:szCs w:val="28"/>
        </w:rPr>
      </w:pPr>
      <w:r w:rsidRPr="000E67F9">
        <w:rPr>
          <w:rFonts w:ascii="Times New Roman" w:hAnsi="Times New Roman" w:cs="Times New Roman"/>
          <w:b/>
          <w:bCs/>
          <w:i/>
          <w:iCs/>
          <w:sz w:val="24"/>
          <w:szCs w:val="24"/>
        </w:rPr>
        <w:lastRenderedPageBreak/>
        <w:t>Attēls Nr.</w:t>
      </w:r>
      <w:r>
        <w:rPr>
          <w:rFonts w:ascii="Times New Roman" w:hAnsi="Times New Roman" w:cs="Times New Roman"/>
          <w:b/>
          <w:bCs/>
          <w:i/>
          <w:iCs/>
          <w:sz w:val="24"/>
          <w:szCs w:val="24"/>
        </w:rPr>
        <w:t>8</w:t>
      </w:r>
      <w:r w:rsidRPr="000E67F9">
        <w:rPr>
          <w:rFonts w:ascii="Times New Roman" w:hAnsi="Times New Roman" w:cs="Times New Roman"/>
          <w:b/>
          <w:bCs/>
          <w:i/>
          <w:iCs/>
          <w:sz w:val="24"/>
          <w:szCs w:val="24"/>
        </w:rPr>
        <w:t xml:space="preserve">. Dzelzceļa infrastruktūras </w:t>
      </w:r>
      <w:r>
        <w:rPr>
          <w:rFonts w:ascii="Times New Roman" w:hAnsi="Times New Roman" w:cs="Times New Roman"/>
          <w:b/>
          <w:bCs/>
          <w:i/>
          <w:iCs/>
          <w:sz w:val="24"/>
          <w:szCs w:val="24"/>
        </w:rPr>
        <w:t>apstiprināto projektu un ieceru būvdarbu apjoms milj. euro</w:t>
      </w:r>
    </w:p>
    <w:p w14:paraId="7E366D87" w14:textId="77777777" w:rsidR="00E23FEC" w:rsidRDefault="00E23FEC" w:rsidP="00E23FEC">
      <w:pPr>
        <w:spacing w:after="0" w:line="276" w:lineRule="auto"/>
        <w:jc w:val="center"/>
        <w:rPr>
          <w:rFonts w:ascii="Times New Roman" w:hAnsi="Times New Roman" w:cs="Times New Roman"/>
          <w:sz w:val="28"/>
          <w:szCs w:val="28"/>
        </w:rPr>
      </w:pPr>
      <w:r>
        <w:rPr>
          <w:noProof/>
        </w:rPr>
        <w:drawing>
          <wp:inline distT="0" distB="0" distL="0" distR="0" wp14:anchorId="3523D38B" wp14:editId="4C8D3DDA">
            <wp:extent cx="5069434" cy="2867558"/>
            <wp:effectExtent l="0" t="0" r="17145" b="9525"/>
            <wp:docPr id="9" name="Chart 9">
              <a:extLst xmlns:a="http://schemas.openxmlformats.org/drawingml/2006/main">
                <a:ext uri="{FF2B5EF4-FFF2-40B4-BE49-F238E27FC236}">
                  <a16:creationId xmlns:a16="http://schemas.microsoft.com/office/drawing/2014/main" id="{3549E8A7-BE59-4548-B570-31A002601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14CF61" w14:textId="77777777" w:rsidR="00E23FEC" w:rsidRPr="00570EE9" w:rsidRDefault="00E23FEC" w:rsidP="00E23FEC">
      <w:pPr>
        <w:suppressAutoHyphens/>
        <w:spacing w:line="276" w:lineRule="auto"/>
        <w:jc w:val="both"/>
        <w:rPr>
          <w:rFonts w:ascii="Times New Roman" w:hAnsi="Times New Roman"/>
          <w:sz w:val="20"/>
          <w:szCs w:val="20"/>
        </w:rPr>
      </w:pPr>
      <w:r w:rsidRPr="00570EE9">
        <w:rPr>
          <w:rFonts w:ascii="Times New Roman" w:hAnsi="Times New Roman"/>
          <w:sz w:val="20"/>
          <w:szCs w:val="20"/>
        </w:rPr>
        <w:t xml:space="preserve">Avots: Ekonomikas ministrijas apkopotie dati </w:t>
      </w:r>
    </w:p>
    <w:p w14:paraId="7E646F1C" w14:textId="77777777" w:rsidR="00E23FEC" w:rsidRPr="00826639" w:rsidRDefault="00E23FEC" w:rsidP="00E23FEC">
      <w:pPr>
        <w:spacing w:after="0" w:line="276" w:lineRule="auto"/>
        <w:ind w:firstLine="567"/>
        <w:jc w:val="both"/>
        <w:rPr>
          <w:rFonts w:ascii="Times New Roman" w:hAnsi="Times New Roman" w:cs="Times New Roman"/>
          <w:sz w:val="28"/>
          <w:szCs w:val="28"/>
        </w:rPr>
      </w:pPr>
      <w:r w:rsidRPr="00743604">
        <w:rPr>
          <w:rFonts w:ascii="Times New Roman" w:hAnsi="Times New Roman" w:cs="Times New Roman"/>
          <w:sz w:val="28"/>
          <w:szCs w:val="28"/>
        </w:rPr>
        <w:t>Ņemot vērā prognozētās apjoma izmaiņas</w:t>
      </w:r>
      <w:r>
        <w:rPr>
          <w:rFonts w:ascii="Times New Roman" w:hAnsi="Times New Roman" w:cs="Times New Roman"/>
          <w:sz w:val="28"/>
          <w:szCs w:val="28"/>
        </w:rPr>
        <w:t xml:space="preserve"> transporta apakšnozares dzelzceļa un autoceļu infrastruktūras jomās, visā transporta apakšnozarē kopumā periodā no 2019.gada līdz 2023.gadam prognozējama mainīga būvniecības apjomu dinamika un nevienmērīga attīstība (</w:t>
      </w:r>
      <w:r w:rsidRPr="00826639">
        <w:rPr>
          <w:rFonts w:ascii="Times New Roman" w:hAnsi="Times New Roman" w:cs="Times New Roman"/>
          <w:sz w:val="28"/>
          <w:szCs w:val="28"/>
        </w:rPr>
        <w:t>skatīt attēlu Nr. 9)</w:t>
      </w:r>
      <w:r>
        <w:rPr>
          <w:rFonts w:ascii="Times New Roman" w:hAnsi="Times New Roman" w:cs="Times New Roman"/>
          <w:sz w:val="28"/>
          <w:szCs w:val="28"/>
        </w:rPr>
        <w:t xml:space="preserve">. </w:t>
      </w:r>
    </w:p>
    <w:p w14:paraId="6E07922F" w14:textId="77777777" w:rsidR="00E23FEC" w:rsidRPr="00826639" w:rsidRDefault="00E23FEC" w:rsidP="00E23FEC">
      <w:pPr>
        <w:spacing w:after="0" w:line="276" w:lineRule="auto"/>
        <w:jc w:val="center"/>
        <w:rPr>
          <w:rFonts w:ascii="Times New Roman" w:hAnsi="Times New Roman" w:cs="Times New Roman"/>
          <w:sz w:val="28"/>
          <w:szCs w:val="28"/>
        </w:rPr>
      </w:pPr>
    </w:p>
    <w:p w14:paraId="33800F95" w14:textId="77777777" w:rsidR="00E23FEC" w:rsidRPr="00826639" w:rsidRDefault="00E23FEC" w:rsidP="00E23FEC">
      <w:pPr>
        <w:spacing w:after="0" w:line="276" w:lineRule="auto"/>
        <w:jc w:val="center"/>
        <w:rPr>
          <w:rFonts w:ascii="Times New Roman" w:hAnsi="Times New Roman" w:cs="Times New Roman"/>
          <w:bCs/>
          <w:i/>
          <w:iCs/>
          <w:sz w:val="24"/>
          <w:szCs w:val="24"/>
        </w:rPr>
      </w:pPr>
      <w:r w:rsidRPr="00826639">
        <w:rPr>
          <w:rFonts w:ascii="Times New Roman" w:hAnsi="Times New Roman" w:cs="Times New Roman"/>
          <w:b/>
          <w:bCs/>
          <w:i/>
          <w:iCs/>
          <w:sz w:val="24"/>
          <w:szCs w:val="24"/>
        </w:rPr>
        <w:t>Attēls Nr.9.</w:t>
      </w:r>
      <w:r w:rsidRPr="00826639">
        <w:rPr>
          <w:rFonts w:ascii="Times New Roman" w:hAnsi="Times New Roman" w:cs="Times New Roman"/>
          <w:b/>
          <w:bCs/>
          <w:sz w:val="24"/>
          <w:szCs w:val="24"/>
        </w:rPr>
        <w:t xml:space="preserve"> </w:t>
      </w:r>
      <w:r w:rsidRPr="00826639">
        <w:rPr>
          <w:rFonts w:ascii="Times New Roman" w:hAnsi="Times New Roman" w:cs="Times New Roman"/>
          <w:b/>
          <w:bCs/>
          <w:i/>
          <w:iCs/>
          <w:sz w:val="24"/>
          <w:szCs w:val="24"/>
        </w:rPr>
        <w:t>Būvniecības produkcijas apjoma izmaiņas līdz 2018.gadam un prognozes no 2019. līdz 2023.gadam, kumulatīvās izmaiņas pret 2018.gadu</w:t>
      </w:r>
      <w:r w:rsidRPr="00826639">
        <w:rPr>
          <w:rFonts w:ascii="Times New Roman" w:hAnsi="Times New Roman" w:cs="Times New Roman"/>
          <w:bCs/>
          <w:i/>
          <w:iCs/>
          <w:sz w:val="24"/>
          <w:szCs w:val="24"/>
        </w:rPr>
        <w:t>, %</w:t>
      </w:r>
    </w:p>
    <w:p w14:paraId="52E2A05E" w14:textId="77777777" w:rsidR="00E23FEC" w:rsidRPr="008A793D" w:rsidRDefault="00E23FEC" w:rsidP="00E23FEC">
      <w:pPr>
        <w:spacing w:after="0" w:line="276" w:lineRule="auto"/>
        <w:ind w:firstLine="142"/>
        <w:jc w:val="both"/>
        <w:rPr>
          <w:rFonts w:ascii="Times New Roman" w:hAnsi="Times New Roman"/>
          <w:sz w:val="20"/>
          <w:szCs w:val="20"/>
        </w:rPr>
      </w:pPr>
    </w:p>
    <w:p w14:paraId="5B2F1CCD" w14:textId="77777777" w:rsidR="00E23FEC" w:rsidRDefault="00E23FEC" w:rsidP="00E23FEC">
      <w:pPr>
        <w:spacing w:after="0" w:line="276" w:lineRule="auto"/>
        <w:jc w:val="center"/>
        <w:rPr>
          <w:rFonts w:ascii="Times New Roman" w:hAnsi="Times New Roman" w:cs="Times New Roman"/>
          <w:sz w:val="28"/>
          <w:szCs w:val="28"/>
        </w:rPr>
      </w:pPr>
      <w:r>
        <w:rPr>
          <w:noProof/>
        </w:rPr>
        <w:drawing>
          <wp:inline distT="0" distB="0" distL="0" distR="0" wp14:anchorId="0B4041E3" wp14:editId="2E13D213">
            <wp:extent cx="5434847" cy="3381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3772" cy="3418036"/>
                    </a:xfrm>
                    <a:prstGeom prst="rect">
                      <a:avLst/>
                    </a:prstGeom>
                  </pic:spPr>
                </pic:pic>
              </a:graphicData>
            </a:graphic>
          </wp:inline>
        </w:drawing>
      </w:r>
    </w:p>
    <w:p w14:paraId="3970B878" w14:textId="77777777" w:rsidR="00E23FEC" w:rsidRDefault="00E23FEC" w:rsidP="00E23FEC">
      <w:pPr>
        <w:spacing w:after="0" w:line="276" w:lineRule="auto"/>
        <w:ind w:firstLine="142"/>
        <w:jc w:val="both"/>
        <w:rPr>
          <w:rFonts w:ascii="Times New Roman" w:hAnsi="Times New Roman"/>
          <w:sz w:val="20"/>
          <w:szCs w:val="20"/>
        </w:rPr>
      </w:pPr>
      <w:r w:rsidRPr="00826639">
        <w:rPr>
          <w:rFonts w:ascii="Times New Roman" w:hAnsi="Times New Roman"/>
          <w:sz w:val="20"/>
          <w:szCs w:val="20"/>
        </w:rPr>
        <w:t>Avots: Pētījums</w:t>
      </w:r>
      <w:r>
        <w:rPr>
          <w:rFonts w:ascii="Times New Roman" w:hAnsi="Times New Roman"/>
          <w:sz w:val="20"/>
          <w:szCs w:val="20"/>
        </w:rPr>
        <w:br w:type="page"/>
      </w:r>
    </w:p>
    <w:p w14:paraId="34619ED3" w14:textId="77777777" w:rsidR="00E23FEC" w:rsidRPr="00826639" w:rsidRDefault="00E23FEC" w:rsidP="00E23FEC">
      <w:pPr>
        <w:spacing w:after="0" w:line="276" w:lineRule="auto"/>
        <w:ind w:firstLine="567"/>
        <w:jc w:val="both"/>
        <w:rPr>
          <w:rFonts w:ascii="Times New Roman" w:hAnsi="Times New Roman"/>
          <w:sz w:val="28"/>
          <w:szCs w:val="28"/>
        </w:rPr>
      </w:pPr>
      <w:r w:rsidRPr="00743604">
        <w:rPr>
          <w:rFonts w:ascii="Times New Roman" w:hAnsi="Times New Roman" w:cs="Times New Roman"/>
          <w:sz w:val="28"/>
          <w:szCs w:val="28"/>
        </w:rPr>
        <w:lastRenderedPageBreak/>
        <w:t xml:space="preserve">Būvniecības produkcijas apjoma kumulatīvās izmaiņas pret 2018.gadu paredz pieaugumu 2019.gadā </w:t>
      </w:r>
      <w:r w:rsidRPr="00826639">
        <w:rPr>
          <w:rFonts w:ascii="Times New Roman" w:hAnsi="Times New Roman" w:cs="Times New Roman"/>
          <w:sz w:val="28"/>
          <w:szCs w:val="28"/>
        </w:rPr>
        <w:t>par 16,9%, 2020. un 2021.gadā pieaugums samazināsies un būs attiecīgi 7,5%, un 3,3 %, 2022.gadā un 2023.gadā tiek prognozēts būvniecības produkcijas apjoma pieaugums 13,5 %.</w:t>
      </w:r>
    </w:p>
    <w:p w14:paraId="2016C638" w14:textId="77777777" w:rsidR="00E23FEC" w:rsidRDefault="00E23FEC" w:rsidP="00E23FE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Transportbūvju apakšnozarē, vērtējot prognozes, būtiski ņemt vērā to, ka šo apakšnozari veido autoceļu infrastruktūras un dzelzceļu infrastruktūras jomas, kas savā starpā pārklājas minimāli. Tas nozīmē, ka būvniecības apjoma kāpums vienā no šīm jomām, minimāli ietekmē vai neietekmē otru. Tāpēc prognozes šajās jomās ir izdalītas atsevišķi. </w:t>
      </w:r>
    </w:p>
    <w:p w14:paraId="24BF0359" w14:textId="2650BAB4" w:rsidR="00E23FEC" w:rsidRDefault="00E23FEC" w:rsidP="00E23FE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Laika posmā, kad dzelzceļa infrastruktūras būvniecībā prognozējams apjomu kāpums, kas saistīts ar lielo projektu uzsākšanu (RailBaltc</w:t>
      </w:r>
      <w:r>
        <w:rPr>
          <w:rFonts w:ascii="Times New Roman" w:hAnsi="Times New Roman" w:cs="Times New Roman"/>
          <w:sz w:val="28"/>
          <w:szCs w:val="28"/>
        </w:rPr>
        <w:t>a</w:t>
      </w:r>
      <w:r>
        <w:rPr>
          <w:rFonts w:ascii="Times New Roman" w:hAnsi="Times New Roman" w:cs="Times New Roman"/>
          <w:sz w:val="28"/>
          <w:szCs w:val="28"/>
        </w:rPr>
        <w:t xml:space="preserve">, </w:t>
      </w:r>
      <w:r>
        <w:rPr>
          <w:rFonts w:ascii="Times New Roman" w:hAnsi="Times New Roman" w:cs="Times New Roman"/>
          <w:sz w:val="28"/>
          <w:szCs w:val="28"/>
        </w:rPr>
        <w:t>dzelzceļa</w:t>
      </w:r>
      <w:r>
        <w:rPr>
          <w:rFonts w:ascii="Times New Roman" w:hAnsi="Times New Roman" w:cs="Times New Roman"/>
          <w:sz w:val="28"/>
          <w:szCs w:val="28"/>
        </w:rPr>
        <w:t xml:space="preserve"> elektrifikācija u.c. projektiem), autoceļu infrastruktūras būvniecībā, laika posmā no 2020. līdz 2023.gadam, kad plānojams Eiropas Savienības fondu finansējuma plūsmas pārtraukums, vērojams ievērojams būvniecības apjomu kritums, jo autoceļu infrastruktūras būvniecības nozare lielā mērā atkarīga no Eiropas Savienības finansētiem projektiem, ko parāda arī valsts un pašvaldību autoceļu infrastruktūras būvniecības ieceru apjoma dinamika. Šāds ievērojams būvniecības apjomu kritums autoceļu infrastruktūras būvniecības jomā var novest pie kvalificētu, šajā jomā strādājošu strādnieku aizplūšanu uz citām valstīm un vēlāk pie darbaspēka trūkuma un izmaksu celšanos, brīdī, kad autoceļu infrastruktūras būvniecības apjomi atkal pieaugs.</w:t>
      </w:r>
    </w:p>
    <w:p w14:paraId="16E91F90" w14:textId="2195D341" w:rsidR="00142BF3" w:rsidRDefault="00142BF3" w:rsidP="00C200BA">
      <w:pPr>
        <w:spacing w:after="0"/>
        <w:ind w:firstLine="851"/>
        <w:jc w:val="both"/>
        <w:rPr>
          <w:rFonts w:ascii="Times New Roman" w:hAnsi="Times New Roman"/>
          <w:sz w:val="28"/>
          <w:szCs w:val="28"/>
        </w:rPr>
      </w:pPr>
    </w:p>
    <w:p w14:paraId="4AE3AD36" w14:textId="3B875817" w:rsidR="00347FC1" w:rsidRDefault="00347FC1">
      <w:pPr>
        <w:rPr>
          <w:rFonts w:ascii="Times New Roman" w:hAnsi="Times New Roman"/>
          <w:sz w:val="28"/>
          <w:szCs w:val="28"/>
        </w:rPr>
      </w:pPr>
      <w:r>
        <w:rPr>
          <w:rFonts w:ascii="Times New Roman" w:hAnsi="Times New Roman"/>
          <w:sz w:val="28"/>
          <w:szCs w:val="28"/>
        </w:rPr>
        <w:br w:type="page"/>
      </w:r>
    </w:p>
    <w:p w14:paraId="48A6CAED" w14:textId="41C3CE79" w:rsidR="00142BF3" w:rsidRPr="00142BF3" w:rsidRDefault="00142BF3" w:rsidP="00347FC1">
      <w:pPr>
        <w:pStyle w:val="Heading3"/>
        <w:spacing w:after="240"/>
        <w:ind w:left="567" w:firstLine="284"/>
        <w:rPr>
          <w:rFonts w:ascii="Times New Roman" w:hAnsi="Times New Roman"/>
          <w:b/>
          <w:sz w:val="28"/>
          <w:szCs w:val="28"/>
          <w:u w:val="single"/>
        </w:rPr>
      </w:pPr>
      <w:bookmarkStart w:id="13" w:name="_Toc15480930"/>
      <w:r w:rsidRPr="00142BF3">
        <w:rPr>
          <w:rFonts w:ascii="Times New Roman" w:hAnsi="Times New Roman"/>
          <w:b/>
          <w:sz w:val="28"/>
          <w:szCs w:val="28"/>
          <w:u w:val="single"/>
        </w:rPr>
        <w:lastRenderedPageBreak/>
        <w:t>Pilsētas infrastruktūras objektu būvniecība</w:t>
      </w:r>
      <w:bookmarkEnd w:id="13"/>
    </w:p>
    <w:p w14:paraId="668F1E9B" w14:textId="5B59B984" w:rsidR="00C200BA" w:rsidRDefault="00C200BA" w:rsidP="00C200BA">
      <w:pPr>
        <w:spacing w:after="0"/>
        <w:ind w:firstLine="851"/>
        <w:jc w:val="both"/>
        <w:rPr>
          <w:sz w:val="22"/>
          <w:szCs w:val="24"/>
        </w:rPr>
      </w:pPr>
      <w:r>
        <w:rPr>
          <w:rFonts w:ascii="Times New Roman" w:hAnsi="Times New Roman"/>
          <w:sz w:val="28"/>
          <w:szCs w:val="28"/>
        </w:rPr>
        <w:t>Pilsētas infrastruktūras objektu būvniecība</w:t>
      </w:r>
      <w:r w:rsidR="00142BF3">
        <w:rPr>
          <w:rFonts w:ascii="Times New Roman" w:hAnsi="Times New Roman"/>
          <w:sz w:val="28"/>
          <w:szCs w:val="28"/>
        </w:rPr>
        <w:t>s</w:t>
      </w:r>
      <w:r w:rsidRPr="00AE339C">
        <w:rPr>
          <w:rFonts w:ascii="Times New Roman" w:hAnsi="Times New Roman"/>
          <w:sz w:val="28"/>
          <w:szCs w:val="28"/>
        </w:rPr>
        <w:t xml:space="preserve"> apakšnozarē prognozējams apjoma pieaugums 2019. un 2020.gadā. Kombinētā prognoze uzrāda, ka kumulatīvais apjoma pieaugums periodā svārstīsies 8% līdz 23% robežās no 2018.gada līmeņa. </w:t>
      </w:r>
      <w:r w:rsidRPr="00AE339C">
        <w:rPr>
          <w:rFonts w:eastAsia="Times New Roman"/>
          <w:b/>
          <w:bCs/>
          <w:sz w:val="22"/>
          <w:szCs w:val="24"/>
          <w:lang w:eastAsia="en-GB"/>
        </w:rPr>
        <w:t xml:space="preserve"> </w:t>
      </w:r>
      <w:r w:rsidRPr="00AE339C">
        <w:rPr>
          <w:rFonts w:ascii="Times New Roman" w:eastAsia="Times New Roman" w:hAnsi="Times New Roman" w:cs="Times New Roman"/>
          <w:sz w:val="28"/>
          <w:szCs w:val="28"/>
          <w:lang w:eastAsia="en-GB"/>
        </w:rPr>
        <w:t>B</w:t>
      </w:r>
      <w:r w:rsidRPr="00AE339C">
        <w:rPr>
          <w:rFonts w:ascii="Times New Roman" w:hAnsi="Times New Roman" w:cs="Times New Roman"/>
          <w:sz w:val="28"/>
          <w:szCs w:val="28"/>
        </w:rPr>
        <w:t xml:space="preserve">ūvniecības produkcijas apjoma kumulatīvās izmaiņas pret 2018.gadu prognozē pieaugumu par 8,8% 2019.gadā, 23,5% 2020.gadā, 23,1% 2021.gadā, 9,9% 2022.gadā un 11,1% 2023.gadā (skatīt attēlu Nr. </w:t>
      </w:r>
      <w:r w:rsidR="002729B2">
        <w:rPr>
          <w:rFonts w:ascii="Times New Roman" w:hAnsi="Times New Roman" w:cs="Times New Roman"/>
          <w:sz w:val="28"/>
          <w:szCs w:val="28"/>
        </w:rPr>
        <w:t>10</w:t>
      </w:r>
      <w:r w:rsidRPr="00AE339C">
        <w:rPr>
          <w:rFonts w:ascii="Times New Roman" w:hAnsi="Times New Roman" w:cs="Times New Roman"/>
          <w:sz w:val="28"/>
          <w:szCs w:val="28"/>
        </w:rPr>
        <w:t>)</w:t>
      </w:r>
      <w:r w:rsidRPr="00AE339C">
        <w:rPr>
          <w:rFonts w:ascii="Times New Roman" w:hAnsi="Times New Roman"/>
          <w:sz w:val="28"/>
          <w:szCs w:val="28"/>
        </w:rPr>
        <w:t>.</w:t>
      </w:r>
      <w:r w:rsidRPr="00AE339C">
        <w:rPr>
          <w:sz w:val="22"/>
          <w:szCs w:val="24"/>
        </w:rPr>
        <w:t xml:space="preserve"> </w:t>
      </w:r>
    </w:p>
    <w:p w14:paraId="0A9ACEC0" w14:textId="77777777" w:rsidR="00E84677" w:rsidRPr="00AE339C" w:rsidRDefault="00E84677" w:rsidP="00E84677">
      <w:pPr>
        <w:spacing w:after="0"/>
        <w:ind w:firstLine="851"/>
        <w:jc w:val="both"/>
        <w:rPr>
          <w:rFonts w:ascii="Times New Roman" w:hAnsi="Times New Roman"/>
          <w:sz w:val="28"/>
          <w:szCs w:val="28"/>
        </w:rPr>
      </w:pPr>
    </w:p>
    <w:p w14:paraId="69756A78" w14:textId="180277F2" w:rsidR="00C200BA" w:rsidRPr="00FD4539" w:rsidRDefault="00C200BA" w:rsidP="005E5098">
      <w:pPr>
        <w:spacing w:before="100" w:after="200" w:line="240" w:lineRule="auto"/>
        <w:jc w:val="center"/>
        <w:rPr>
          <w:rFonts w:ascii="Times New Roman" w:hAnsi="Times New Roman" w:cs="Times New Roman"/>
          <w:b/>
          <w:bCs/>
          <w:i/>
          <w:iCs/>
          <w:sz w:val="24"/>
          <w:szCs w:val="24"/>
        </w:rPr>
      </w:pPr>
      <w:r w:rsidRPr="00FD4539">
        <w:rPr>
          <w:rFonts w:ascii="Times New Roman" w:hAnsi="Times New Roman" w:cs="Times New Roman"/>
          <w:b/>
          <w:bCs/>
          <w:i/>
          <w:iCs/>
          <w:sz w:val="24"/>
          <w:szCs w:val="24"/>
        </w:rPr>
        <w:t xml:space="preserve">Attēls Nr. </w:t>
      </w:r>
      <w:r w:rsidR="002729B2">
        <w:rPr>
          <w:rFonts w:ascii="Times New Roman" w:hAnsi="Times New Roman" w:cs="Times New Roman"/>
          <w:b/>
          <w:bCs/>
          <w:i/>
          <w:iCs/>
          <w:sz w:val="24"/>
          <w:szCs w:val="24"/>
        </w:rPr>
        <w:t>10</w:t>
      </w:r>
      <w:r w:rsidRPr="00FD4539">
        <w:rPr>
          <w:rFonts w:ascii="Times New Roman" w:hAnsi="Times New Roman" w:cs="Times New Roman"/>
          <w:b/>
          <w:bCs/>
          <w:i/>
          <w:iCs/>
          <w:sz w:val="24"/>
          <w:szCs w:val="24"/>
        </w:rPr>
        <w:t>.</w:t>
      </w:r>
      <w:r w:rsidRPr="00FD4539">
        <w:rPr>
          <w:rFonts w:ascii="Times New Roman" w:hAnsi="Times New Roman" w:cs="Times New Roman"/>
          <w:b/>
          <w:bCs/>
          <w:sz w:val="24"/>
          <w:szCs w:val="24"/>
        </w:rPr>
        <w:t xml:space="preserve"> </w:t>
      </w:r>
      <w:r w:rsidRPr="00FD4539">
        <w:rPr>
          <w:rFonts w:ascii="Times New Roman" w:hAnsi="Times New Roman" w:cs="Times New Roman"/>
          <w:b/>
          <w:bCs/>
          <w:i/>
          <w:iCs/>
          <w:sz w:val="24"/>
          <w:szCs w:val="24"/>
        </w:rPr>
        <w:t>Būvniecības produkcijas apjoma izmaiņas apakšnozarē līdz 2018.gadam un prognozes no 2019. līdz 2023.gadam. pret 2018.gadu, %</w:t>
      </w:r>
    </w:p>
    <w:p w14:paraId="71E194A9" w14:textId="3F273CAC" w:rsidR="00142BF3" w:rsidRDefault="00C200BA" w:rsidP="00E84677">
      <w:pPr>
        <w:spacing w:after="0"/>
        <w:jc w:val="center"/>
      </w:pPr>
      <w:r w:rsidRPr="00B2521E">
        <w:rPr>
          <w:bCs/>
          <w:noProof/>
        </w:rPr>
        <w:drawing>
          <wp:inline distT="0" distB="0" distL="0" distR="0" wp14:anchorId="22FBE68F" wp14:editId="17B1A40E">
            <wp:extent cx="5624322" cy="33220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7412" cy="3400615"/>
                    </a:xfrm>
                    <a:prstGeom prst="rect">
                      <a:avLst/>
                    </a:prstGeom>
                    <a:noFill/>
                  </pic:spPr>
                </pic:pic>
              </a:graphicData>
            </a:graphic>
          </wp:inline>
        </w:drawing>
      </w:r>
    </w:p>
    <w:p w14:paraId="06712D04" w14:textId="77777777" w:rsidR="00E84677" w:rsidRPr="00142BF3" w:rsidRDefault="00E84677" w:rsidP="00E84677">
      <w:pPr>
        <w:spacing w:after="0"/>
        <w:ind w:firstLine="142"/>
        <w:jc w:val="both"/>
        <w:rPr>
          <w:rFonts w:ascii="Times New Roman" w:hAnsi="Times New Roman"/>
          <w:sz w:val="20"/>
          <w:szCs w:val="20"/>
        </w:rPr>
      </w:pPr>
      <w:r>
        <w:rPr>
          <w:rFonts w:ascii="Times New Roman" w:hAnsi="Times New Roman"/>
          <w:sz w:val="20"/>
          <w:szCs w:val="20"/>
        </w:rPr>
        <w:t>Avots: Pētījums</w:t>
      </w:r>
    </w:p>
    <w:p w14:paraId="5F4F7610" w14:textId="77777777" w:rsidR="00E84677" w:rsidRPr="00B2521E" w:rsidRDefault="00E84677" w:rsidP="00E84677">
      <w:pPr>
        <w:spacing w:after="0"/>
        <w:jc w:val="center"/>
      </w:pPr>
    </w:p>
    <w:p w14:paraId="076D4EAD" w14:textId="003CF001" w:rsidR="00E84677" w:rsidRDefault="00FD4539" w:rsidP="00142BF3">
      <w:pPr>
        <w:ind w:firstLine="851"/>
        <w:jc w:val="both"/>
        <w:rPr>
          <w:rFonts w:ascii="Times New Roman" w:hAnsi="Times New Roman" w:cs="Times New Roman"/>
          <w:sz w:val="28"/>
          <w:szCs w:val="28"/>
        </w:rPr>
      </w:pPr>
      <w:r w:rsidRPr="00AE339C">
        <w:rPr>
          <w:rFonts w:ascii="Times New Roman" w:hAnsi="Times New Roman"/>
          <w:sz w:val="28"/>
          <w:szCs w:val="28"/>
        </w:rPr>
        <w:t>Ņemot vērā būtiskās atšķirības ekspertu un statistisko trendu prognozēs, kombinētā prognoze vairāk interpretējama nevis kā atsevišķu gadu prognožu kopa, bet kā vispārēja tendence, kur pēc apjoma pieauguma 2019. un 2020.gadā, gaidāms apjoma samazinājuma risks</w:t>
      </w:r>
      <w:r>
        <w:rPr>
          <w:rFonts w:ascii="Times New Roman" w:hAnsi="Times New Roman"/>
          <w:sz w:val="28"/>
          <w:szCs w:val="28"/>
        </w:rPr>
        <w:t xml:space="preserve"> </w:t>
      </w:r>
      <w:r w:rsidR="00142BF3" w:rsidRPr="00FD4539">
        <w:rPr>
          <w:rFonts w:ascii="Times New Roman" w:hAnsi="Times New Roman" w:cs="Times New Roman"/>
          <w:sz w:val="28"/>
          <w:szCs w:val="28"/>
        </w:rPr>
        <w:t>2022. un 2023. gadā, līdzīgi kā tas bija 2016. gadā saistībā ar cikliskumu ES fondu apguvē.</w:t>
      </w:r>
    </w:p>
    <w:p w14:paraId="3CCFFFCD" w14:textId="77777777" w:rsidR="00E84677" w:rsidRDefault="00E84677">
      <w:pPr>
        <w:rPr>
          <w:rFonts w:ascii="Times New Roman" w:hAnsi="Times New Roman" w:cs="Times New Roman"/>
          <w:sz w:val="28"/>
          <w:szCs w:val="28"/>
        </w:rPr>
      </w:pPr>
      <w:r>
        <w:rPr>
          <w:rFonts w:ascii="Times New Roman" w:hAnsi="Times New Roman" w:cs="Times New Roman"/>
          <w:sz w:val="28"/>
          <w:szCs w:val="28"/>
        </w:rPr>
        <w:br w:type="page"/>
      </w:r>
    </w:p>
    <w:p w14:paraId="6B9A07E2" w14:textId="3ED8A6D4" w:rsidR="00FD4539" w:rsidRDefault="00CB56F2" w:rsidP="006C7438">
      <w:pPr>
        <w:pStyle w:val="Heading2"/>
        <w:rPr>
          <w:rFonts w:ascii="Times New Roman" w:eastAsia="Times New Roman" w:hAnsi="Times New Roman"/>
          <w:b/>
          <w:sz w:val="28"/>
          <w:szCs w:val="28"/>
          <w:bdr w:val="none" w:sz="0" w:space="0" w:color="auto" w:frame="1"/>
          <w:lang w:eastAsia="en-GB"/>
        </w:rPr>
      </w:pPr>
      <w:bookmarkStart w:id="14" w:name="_Toc15480931"/>
      <w:r>
        <w:rPr>
          <w:rFonts w:ascii="Times New Roman" w:eastAsia="Times New Roman" w:hAnsi="Times New Roman"/>
          <w:b/>
          <w:sz w:val="28"/>
          <w:szCs w:val="28"/>
          <w:bdr w:val="none" w:sz="0" w:space="0" w:color="auto" w:frame="1"/>
          <w:lang w:eastAsia="en-GB"/>
        </w:rPr>
        <w:lastRenderedPageBreak/>
        <w:t>2.2</w:t>
      </w:r>
      <w:r w:rsidRPr="00CB56F2">
        <w:rPr>
          <w:rFonts w:ascii="Times New Roman" w:eastAsia="Times New Roman" w:hAnsi="Times New Roman"/>
          <w:b/>
          <w:sz w:val="28"/>
          <w:szCs w:val="28"/>
          <w:bdr w:val="none" w:sz="0" w:space="0" w:color="auto" w:frame="1"/>
          <w:lang w:eastAsia="en-GB"/>
        </w:rPr>
        <w:t>. Būvniecības produkcijas izmak</w:t>
      </w:r>
      <w:r>
        <w:rPr>
          <w:rFonts w:ascii="Times New Roman" w:eastAsia="Times New Roman" w:hAnsi="Times New Roman"/>
          <w:b/>
          <w:sz w:val="28"/>
          <w:szCs w:val="28"/>
          <w:bdr w:val="none" w:sz="0" w:space="0" w:color="auto" w:frame="1"/>
          <w:lang w:eastAsia="en-GB"/>
        </w:rPr>
        <w:t>s</w:t>
      </w:r>
      <w:r w:rsidRPr="00CB56F2">
        <w:rPr>
          <w:rFonts w:ascii="Times New Roman" w:eastAsia="Times New Roman" w:hAnsi="Times New Roman"/>
          <w:b/>
          <w:sz w:val="28"/>
          <w:szCs w:val="28"/>
          <w:bdr w:val="none" w:sz="0" w:space="0" w:color="auto" w:frame="1"/>
          <w:lang w:eastAsia="en-GB"/>
        </w:rPr>
        <w:t>as</w:t>
      </w:r>
      <w:bookmarkEnd w:id="14"/>
    </w:p>
    <w:p w14:paraId="1884EB95" w14:textId="77777777" w:rsidR="00E84677" w:rsidRPr="00E84677" w:rsidRDefault="00E84677" w:rsidP="00E84677">
      <w:pPr>
        <w:rPr>
          <w:lang w:eastAsia="en-GB"/>
        </w:rPr>
      </w:pPr>
    </w:p>
    <w:p w14:paraId="057BF352" w14:textId="495C3017" w:rsidR="00CB56F2" w:rsidRDefault="00CB56F2" w:rsidP="00E84677">
      <w:pPr>
        <w:spacing w:after="0"/>
        <w:ind w:firstLine="720"/>
        <w:jc w:val="both"/>
        <w:rPr>
          <w:rStyle w:val="st"/>
          <w:rFonts w:ascii="Times New Roman" w:hAnsi="Times New Roman" w:cs="Times New Roman"/>
          <w:sz w:val="28"/>
          <w:szCs w:val="28"/>
        </w:rPr>
      </w:pPr>
      <w:r w:rsidRPr="00CB56F2">
        <w:rPr>
          <w:rStyle w:val="st"/>
          <w:rFonts w:ascii="Times New Roman" w:hAnsi="Times New Roman" w:cs="Times New Roman"/>
          <w:sz w:val="28"/>
          <w:szCs w:val="28"/>
        </w:rPr>
        <w:t>Pētījuma ietvaros tika ņemta vērā vidējā izmaksu izmaiņu elastība pret apjoma izmaiņām</w:t>
      </w:r>
      <w:r w:rsidR="002E6E17">
        <w:rPr>
          <w:rStyle w:val="st"/>
          <w:rFonts w:ascii="Times New Roman" w:hAnsi="Times New Roman" w:cs="Times New Roman"/>
          <w:sz w:val="28"/>
          <w:szCs w:val="28"/>
        </w:rPr>
        <w:t xml:space="preserve">, tā </w:t>
      </w:r>
      <w:r w:rsidR="002E6E17" w:rsidRPr="002E6E17">
        <w:rPr>
          <w:rStyle w:val="st"/>
          <w:rFonts w:ascii="Times New Roman" w:hAnsi="Times New Roman" w:cs="Times New Roman"/>
          <w:sz w:val="28"/>
          <w:szCs w:val="28"/>
        </w:rPr>
        <w:t xml:space="preserve">iegūstot </w:t>
      </w:r>
      <w:r w:rsidRPr="002E6E17">
        <w:rPr>
          <w:rStyle w:val="st"/>
          <w:rFonts w:ascii="Times New Roman" w:hAnsi="Times New Roman" w:cs="Times New Roman"/>
          <w:sz w:val="28"/>
          <w:szCs w:val="28"/>
        </w:rPr>
        <w:t>izmaksu izmaiņu prognozes, kādas veidotos, ņemot vērā tikai likumsakarību starp izmaksu izmaiņām, atkarībā no būvniecības produkcijas apjoma izmaiņām</w:t>
      </w:r>
      <w:r w:rsidR="002E6E17" w:rsidRPr="002E6E17">
        <w:rPr>
          <w:rStyle w:val="st"/>
          <w:rFonts w:ascii="Times New Roman" w:hAnsi="Times New Roman" w:cs="Times New Roman"/>
          <w:sz w:val="28"/>
          <w:szCs w:val="28"/>
        </w:rPr>
        <w:t>, kas</w:t>
      </w:r>
      <w:r w:rsidRPr="002E6E17">
        <w:rPr>
          <w:rStyle w:val="st"/>
          <w:rFonts w:ascii="Times New Roman" w:hAnsi="Times New Roman" w:cs="Times New Roman"/>
          <w:sz w:val="28"/>
          <w:szCs w:val="28"/>
        </w:rPr>
        <w:t xml:space="preserve"> tika </w:t>
      </w:r>
      <w:r w:rsidR="002E6E17" w:rsidRPr="002E6E17">
        <w:rPr>
          <w:rStyle w:val="st"/>
          <w:rFonts w:ascii="Times New Roman" w:hAnsi="Times New Roman" w:cs="Times New Roman"/>
          <w:sz w:val="28"/>
          <w:szCs w:val="28"/>
        </w:rPr>
        <w:t>ņemts vērā</w:t>
      </w:r>
      <w:r w:rsidRPr="002E6E17">
        <w:rPr>
          <w:rStyle w:val="st"/>
          <w:rFonts w:ascii="Times New Roman" w:hAnsi="Times New Roman" w:cs="Times New Roman"/>
          <w:sz w:val="28"/>
          <w:szCs w:val="28"/>
        </w:rPr>
        <w:t xml:space="preserve"> kombinētās izmaksu prognozes veidošanā.</w:t>
      </w:r>
    </w:p>
    <w:p w14:paraId="70ADB586" w14:textId="77777777" w:rsidR="00E84677" w:rsidRPr="002E6E17" w:rsidRDefault="00E84677" w:rsidP="00E84677">
      <w:pPr>
        <w:spacing w:after="0"/>
        <w:ind w:firstLine="720"/>
        <w:jc w:val="both"/>
        <w:rPr>
          <w:rStyle w:val="st"/>
          <w:rFonts w:ascii="Times New Roman" w:hAnsi="Times New Roman" w:cs="Times New Roman"/>
          <w:sz w:val="28"/>
          <w:szCs w:val="28"/>
        </w:rPr>
      </w:pPr>
    </w:p>
    <w:p w14:paraId="13E2D779" w14:textId="47129FD0" w:rsidR="00465843" w:rsidRDefault="00373937" w:rsidP="006C7438">
      <w:pPr>
        <w:pStyle w:val="Heading2"/>
        <w:rPr>
          <w:rFonts w:ascii="Times New Roman" w:eastAsia="Times New Roman" w:hAnsi="Times New Roman"/>
          <w:b/>
          <w:sz w:val="28"/>
          <w:szCs w:val="28"/>
          <w:bdr w:val="none" w:sz="0" w:space="0" w:color="auto" w:frame="1"/>
          <w:lang w:eastAsia="en-GB"/>
        </w:rPr>
      </w:pPr>
      <w:bookmarkStart w:id="15" w:name="_Toc15480932"/>
      <w:r>
        <w:rPr>
          <w:rFonts w:ascii="Times New Roman" w:eastAsia="Times New Roman" w:hAnsi="Times New Roman"/>
          <w:b/>
          <w:sz w:val="28"/>
          <w:szCs w:val="28"/>
          <w:bdr w:val="none" w:sz="0" w:space="0" w:color="auto" w:frame="1"/>
          <w:lang w:eastAsia="en-GB"/>
        </w:rPr>
        <w:t>2</w:t>
      </w:r>
      <w:r w:rsidR="006C7438" w:rsidRPr="00DB3D04">
        <w:rPr>
          <w:rFonts w:ascii="Times New Roman" w:eastAsia="Times New Roman" w:hAnsi="Times New Roman"/>
          <w:b/>
          <w:sz w:val="28"/>
          <w:szCs w:val="28"/>
          <w:bdr w:val="none" w:sz="0" w:space="0" w:color="auto" w:frame="1"/>
          <w:lang w:eastAsia="en-GB"/>
        </w:rPr>
        <w:t>.2.</w:t>
      </w:r>
      <w:r w:rsidR="00CB56F2">
        <w:rPr>
          <w:rFonts w:ascii="Times New Roman" w:eastAsia="Times New Roman" w:hAnsi="Times New Roman"/>
          <w:b/>
          <w:sz w:val="28"/>
          <w:szCs w:val="28"/>
          <w:bdr w:val="none" w:sz="0" w:space="0" w:color="auto" w:frame="1"/>
          <w:lang w:eastAsia="en-GB"/>
        </w:rPr>
        <w:t>1.</w:t>
      </w:r>
      <w:r w:rsidR="006C7438" w:rsidRPr="00DB3D04">
        <w:rPr>
          <w:rFonts w:ascii="Times New Roman" w:eastAsia="Times New Roman" w:hAnsi="Times New Roman"/>
          <w:b/>
          <w:sz w:val="28"/>
          <w:szCs w:val="28"/>
          <w:bdr w:val="none" w:sz="0" w:space="0" w:color="auto" w:frame="1"/>
          <w:lang w:eastAsia="en-GB"/>
        </w:rPr>
        <w:t xml:space="preserve"> </w:t>
      </w:r>
      <w:r w:rsidR="00CB56F2">
        <w:rPr>
          <w:rFonts w:ascii="Times New Roman" w:eastAsia="Times New Roman" w:hAnsi="Times New Roman"/>
          <w:b/>
          <w:sz w:val="28"/>
          <w:szCs w:val="28"/>
          <w:bdr w:val="none" w:sz="0" w:space="0" w:color="auto" w:frame="1"/>
          <w:lang w:eastAsia="en-GB"/>
        </w:rPr>
        <w:t>Būvniecības produkcijas kopējās i</w:t>
      </w:r>
      <w:r w:rsidR="00465843" w:rsidRPr="00DB3D04">
        <w:rPr>
          <w:rFonts w:ascii="Times New Roman" w:eastAsia="Times New Roman" w:hAnsi="Times New Roman"/>
          <w:b/>
          <w:sz w:val="28"/>
          <w:szCs w:val="28"/>
          <w:bdr w:val="none" w:sz="0" w:space="0" w:color="auto" w:frame="1"/>
          <w:lang w:eastAsia="en-GB"/>
        </w:rPr>
        <w:t>zma</w:t>
      </w:r>
      <w:r w:rsidR="00B64BBC" w:rsidRPr="00DB3D04">
        <w:rPr>
          <w:rFonts w:ascii="Times New Roman" w:eastAsia="Times New Roman" w:hAnsi="Times New Roman"/>
          <w:b/>
          <w:sz w:val="28"/>
          <w:szCs w:val="28"/>
          <w:bdr w:val="none" w:sz="0" w:space="0" w:color="auto" w:frame="1"/>
          <w:lang w:eastAsia="en-GB"/>
        </w:rPr>
        <w:t>k</w:t>
      </w:r>
      <w:r w:rsidR="00465843" w:rsidRPr="00DB3D04">
        <w:rPr>
          <w:rFonts w:ascii="Times New Roman" w:eastAsia="Times New Roman" w:hAnsi="Times New Roman"/>
          <w:b/>
          <w:sz w:val="28"/>
          <w:szCs w:val="28"/>
          <w:bdr w:val="none" w:sz="0" w:space="0" w:color="auto" w:frame="1"/>
          <w:lang w:eastAsia="en-GB"/>
        </w:rPr>
        <w:t>su izmaiņas</w:t>
      </w:r>
      <w:bookmarkEnd w:id="15"/>
      <w:r w:rsidR="00465843" w:rsidRPr="00DB3D04">
        <w:rPr>
          <w:rFonts w:ascii="Times New Roman" w:eastAsia="Times New Roman" w:hAnsi="Times New Roman"/>
          <w:b/>
          <w:sz w:val="28"/>
          <w:szCs w:val="28"/>
          <w:bdr w:val="none" w:sz="0" w:space="0" w:color="auto" w:frame="1"/>
          <w:lang w:eastAsia="en-GB"/>
        </w:rPr>
        <w:t xml:space="preserve"> </w:t>
      </w:r>
    </w:p>
    <w:p w14:paraId="3089D1EB" w14:textId="77777777" w:rsidR="00E84677" w:rsidRPr="00E84677" w:rsidRDefault="00E84677" w:rsidP="00E84677">
      <w:pPr>
        <w:spacing w:after="0"/>
        <w:rPr>
          <w:lang w:eastAsia="en-GB"/>
        </w:rPr>
      </w:pPr>
    </w:p>
    <w:p w14:paraId="6069C2E3" w14:textId="5D5376C2" w:rsidR="002E6E17" w:rsidRPr="00DB3D04" w:rsidRDefault="00911FF5" w:rsidP="00E84677">
      <w:pPr>
        <w:spacing w:after="0" w:line="276" w:lineRule="auto"/>
        <w:ind w:firstLine="851"/>
        <w:contextualSpacing/>
        <w:jc w:val="both"/>
        <w:rPr>
          <w:rFonts w:ascii="Times New Roman" w:hAnsi="Times New Roman" w:cs="Times New Roman"/>
          <w:sz w:val="28"/>
          <w:szCs w:val="28"/>
        </w:rPr>
      </w:pPr>
      <w:r w:rsidRPr="00DB3D04">
        <w:rPr>
          <w:rFonts w:ascii="Times New Roman" w:eastAsia="Times New Roman" w:hAnsi="Times New Roman"/>
          <w:sz w:val="28"/>
          <w:szCs w:val="28"/>
          <w:bdr w:val="none" w:sz="0" w:space="0" w:color="auto" w:frame="1"/>
          <w:lang w:eastAsia="en-GB"/>
        </w:rPr>
        <w:t xml:space="preserve">Kopējais būvniecības produkcijas apjoma pieaugums tiešā veidā ietekmēs </w:t>
      </w:r>
      <w:r w:rsidRPr="00DB3D04">
        <w:rPr>
          <w:rFonts w:ascii="Times New Roman" w:eastAsia="Times New Roman" w:hAnsi="Times New Roman"/>
          <w:b/>
          <w:bCs/>
          <w:sz w:val="28"/>
          <w:szCs w:val="28"/>
          <w:bdr w:val="none" w:sz="0" w:space="0" w:color="auto" w:frame="1"/>
          <w:lang w:eastAsia="en-GB"/>
        </w:rPr>
        <w:t>izmaksas, kas tuvākajos piecos gados</w:t>
      </w:r>
      <w:r w:rsidR="00E84677">
        <w:rPr>
          <w:rFonts w:ascii="Times New Roman" w:eastAsia="Times New Roman" w:hAnsi="Times New Roman"/>
          <w:b/>
          <w:bCs/>
          <w:sz w:val="28"/>
          <w:szCs w:val="28"/>
          <w:bdr w:val="none" w:sz="0" w:space="0" w:color="auto" w:frame="1"/>
          <w:lang w:eastAsia="en-GB"/>
        </w:rPr>
        <w:t xml:space="preserve"> kumulatīvi</w:t>
      </w:r>
      <w:r w:rsidRPr="00DB3D04">
        <w:rPr>
          <w:rFonts w:ascii="Times New Roman" w:eastAsia="Times New Roman" w:hAnsi="Times New Roman"/>
          <w:b/>
          <w:bCs/>
          <w:sz w:val="28"/>
          <w:szCs w:val="28"/>
          <w:bdr w:val="none" w:sz="0" w:space="0" w:color="auto" w:frame="1"/>
          <w:lang w:eastAsia="en-GB"/>
        </w:rPr>
        <w:t xml:space="preserve"> pieaugs par 10,7 % pret 2018.gadu.</w:t>
      </w:r>
      <w:r w:rsidRPr="00DB3D04">
        <w:rPr>
          <w:rFonts w:ascii="Times New Roman" w:eastAsia="Times New Roman" w:hAnsi="Times New Roman"/>
          <w:sz w:val="28"/>
          <w:szCs w:val="28"/>
          <w:bdr w:val="none" w:sz="0" w:space="0" w:color="auto" w:frame="1"/>
          <w:lang w:eastAsia="en-GB"/>
        </w:rPr>
        <w:t xml:space="preserve"> </w:t>
      </w:r>
      <w:r w:rsidR="002E6E17" w:rsidRPr="002E6E17">
        <w:rPr>
          <w:rFonts w:ascii="Times New Roman" w:hAnsi="Times New Roman" w:cs="Times New Roman"/>
          <w:sz w:val="28"/>
          <w:szCs w:val="28"/>
        </w:rPr>
        <w:t xml:space="preserve">Kopējā tendence būvniecības izmaksu izmaiņām ir ikgadējs pieaugums līdz 2020. gadam aptuveni 5% apjomā, kam sekos nelielas izmaiņu svārstības ap nulli līdz 2023. gadam. </w:t>
      </w:r>
      <w:r w:rsidR="002E6E17">
        <w:rPr>
          <w:rFonts w:ascii="Times New Roman" w:hAnsi="Times New Roman" w:cs="Times New Roman"/>
          <w:bCs/>
          <w:sz w:val="28"/>
          <w:szCs w:val="28"/>
        </w:rPr>
        <w:t>B</w:t>
      </w:r>
      <w:r w:rsidR="002E6E17" w:rsidRPr="00DB3D04">
        <w:rPr>
          <w:rFonts w:ascii="Times New Roman" w:hAnsi="Times New Roman" w:cs="Times New Roman"/>
          <w:bCs/>
          <w:sz w:val="28"/>
          <w:szCs w:val="28"/>
        </w:rPr>
        <w:t>ūvniecības izmaksu izmaiņas</w:t>
      </w:r>
      <w:r w:rsidR="002E6E17" w:rsidRPr="00DB3D04">
        <w:rPr>
          <w:rFonts w:ascii="Times New Roman" w:hAnsi="Times New Roman" w:cs="Times New Roman"/>
          <w:sz w:val="28"/>
          <w:szCs w:val="28"/>
        </w:rPr>
        <w:t xml:space="preserve"> pret iepriekšējo gadu 2019.gadā pieaugs par 4,9%, 2020.gadā par 4,4%, 2021.gadā par 1,5%, 2022.gadā samazināsies p</w:t>
      </w:r>
      <w:r w:rsidR="002E6E17">
        <w:rPr>
          <w:rFonts w:ascii="Times New Roman" w:hAnsi="Times New Roman" w:cs="Times New Roman"/>
          <w:sz w:val="28"/>
          <w:szCs w:val="28"/>
        </w:rPr>
        <w:t>a</w:t>
      </w:r>
      <w:r w:rsidR="002E6E17" w:rsidRPr="00DB3D04">
        <w:rPr>
          <w:rFonts w:ascii="Times New Roman" w:hAnsi="Times New Roman" w:cs="Times New Roman"/>
          <w:sz w:val="28"/>
          <w:szCs w:val="28"/>
        </w:rPr>
        <w:t>r -1,1% un 2023.gadā pieaug</w:t>
      </w:r>
      <w:r w:rsidR="002E6E17">
        <w:rPr>
          <w:rFonts w:ascii="Times New Roman" w:hAnsi="Times New Roman" w:cs="Times New Roman"/>
          <w:sz w:val="28"/>
          <w:szCs w:val="28"/>
        </w:rPr>
        <w:t>s</w:t>
      </w:r>
      <w:r w:rsidR="002E6E17" w:rsidRPr="00DB3D04">
        <w:rPr>
          <w:rFonts w:ascii="Times New Roman" w:hAnsi="Times New Roman" w:cs="Times New Roman"/>
          <w:sz w:val="28"/>
          <w:szCs w:val="28"/>
        </w:rPr>
        <w:t xml:space="preserve"> par 0,7%</w:t>
      </w:r>
      <w:r w:rsidR="002E6E17">
        <w:rPr>
          <w:rFonts w:ascii="Times New Roman" w:hAnsi="Times New Roman" w:cs="Times New Roman"/>
          <w:sz w:val="28"/>
          <w:szCs w:val="28"/>
        </w:rPr>
        <w:t xml:space="preserve"> </w:t>
      </w:r>
      <w:r w:rsidR="002E6E17" w:rsidRPr="00DB3D04">
        <w:rPr>
          <w:rStyle w:val="st"/>
          <w:rFonts w:ascii="Times New Roman" w:hAnsi="Times New Roman" w:cs="Times New Roman"/>
          <w:sz w:val="28"/>
          <w:szCs w:val="28"/>
        </w:rPr>
        <w:t>(skatīt attēlu Nr.</w:t>
      </w:r>
      <w:r w:rsidR="002729B2">
        <w:rPr>
          <w:rStyle w:val="st"/>
          <w:rFonts w:ascii="Times New Roman" w:hAnsi="Times New Roman" w:cs="Times New Roman"/>
          <w:sz w:val="28"/>
          <w:szCs w:val="28"/>
        </w:rPr>
        <w:t>11</w:t>
      </w:r>
      <w:r w:rsidR="002E6E17" w:rsidRPr="00DB3D04">
        <w:rPr>
          <w:rStyle w:val="st"/>
          <w:rFonts w:ascii="Times New Roman" w:hAnsi="Times New Roman" w:cs="Times New Roman"/>
          <w:sz w:val="28"/>
          <w:szCs w:val="28"/>
        </w:rPr>
        <w:t>)</w:t>
      </w:r>
      <w:r w:rsidR="002E6E17" w:rsidRPr="00DB3D04">
        <w:rPr>
          <w:rFonts w:ascii="Times New Roman" w:hAnsi="Times New Roman" w:cs="Times New Roman"/>
          <w:sz w:val="28"/>
          <w:szCs w:val="28"/>
        </w:rPr>
        <w:t xml:space="preserve"> </w:t>
      </w:r>
    </w:p>
    <w:p w14:paraId="39DAE1C9" w14:textId="77777777" w:rsidR="00911FF5" w:rsidRPr="00DB3D04" w:rsidRDefault="00911FF5" w:rsidP="00FD4539">
      <w:pPr>
        <w:spacing w:after="0"/>
        <w:contextualSpacing/>
        <w:jc w:val="both"/>
        <w:rPr>
          <w:rFonts w:ascii="Times New Roman" w:eastAsia="Times New Roman" w:hAnsi="Times New Roman"/>
          <w:sz w:val="28"/>
          <w:szCs w:val="28"/>
          <w:bdr w:val="none" w:sz="0" w:space="0" w:color="auto" w:frame="1"/>
          <w:lang w:eastAsia="en-GB"/>
        </w:rPr>
      </w:pPr>
    </w:p>
    <w:p w14:paraId="1D14B962" w14:textId="1206DCDA" w:rsidR="00911FF5" w:rsidRPr="002E6E17" w:rsidRDefault="00911FF5" w:rsidP="005E5098">
      <w:pPr>
        <w:spacing w:line="240" w:lineRule="auto"/>
        <w:jc w:val="center"/>
        <w:rPr>
          <w:rFonts w:ascii="Times New Roman" w:hAnsi="Times New Roman"/>
          <w:b/>
          <w:bCs/>
          <w:i/>
          <w:iCs/>
          <w:sz w:val="24"/>
          <w:szCs w:val="24"/>
        </w:rPr>
      </w:pPr>
      <w:r w:rsidRPr="002E6E17">
        <w:rPr>
          <w:rFonts w:ascii="Times New Roman" w:hAnsi="Times New Roman"/>
          <w:b/>
          <w:bCs/>
          <w:i/>
          <w:iCs/>
          <w:sz w:val="24"/>
          <w:szCs w:val="24"/>
        </w:rPr>
        <w:t xml:space="preserve">Attēls Nr. </w:t>
      </w:r>
      <w:r w:rsidR="002729B2">
        <w:rPr>
          <w:rFonts w:ascii="Times New Roman" w:hAnsi="Times New Roman"/>
          <w:b/>
          <w:bCs/>
          <w:i/>
          <w:iCs/>
          <w:sz w:val="24"/>
          <w:szCs w:val="24"/>
        </w:rPr>
        <w:t>11</w:t>
      </w:r>
      <w:r w:rsidRPr="002E6E17">
        <w:rPr>
          <w:rFonts w:ascii="Times New Roman" w:hAnsi="Times New Roman"/>
          <w:b/>
          <w:bCs/>
          <w:i/>
          <w:iCs/>
          <w:sz w:val="24"/>
          <w:szCs w:val="24"/>
        </w:rPr>
        <w:t>. Būvniecības izmaksu izmaiņas līdz 2018. gadam un prognozes no 2019. līdz 2023. gadam (kumulatīvās izmaiņas pret 2018. gadu, % )</w:t>
      </w:r>
    </w:p>
    <w:p w14:paraId="3F18A484" w14:textId="77777777" w:rsidR="00911FF5" w:rsidRPr="00B64BBC" w:rsidRDefault="00911FF5" w:rsidP="00FD4539">
      <w:pPr>
        <w:spacing w:after="0"/>
        <w:contextualSpacing/>
        <w:jc w:val="center"/>
        <w:rPr>
          <w:rFonts w:ascii="Times New Roman" w:eastAsia="Times New Roman" w:hAnsi="Times New Roman"/>
          <w:sz w:val="20"/>
          <w:szCs w:val="20"/>
          <w:bdr w:val="none" w:sz="0" w:space="0" w:color="auto" w:frame="1"/>
          <w:lang w:eastAsia="en-GB"/>
        </w:rPr>
      </w:pPr>
      <w:r w:rsidRPr="00B64BBC">
        <w:rPr>
          <w:rFonts w:ascii="Times New Roman" w:hAnsi="Times New Roman"/>
          <w:bCs/>
          <w:noProof/>
          <w:sz w:val="20"/>
        </w:rPr>
        <w:drawing>
          <wp:inline distT="0" distB="0" distL="0" distR="0" wp14:anchorId="3AB6D1FD" wp14:editId="2CCC76A1">
            <wp:extent cx="5518670" cy="2816352"/>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1953" cy="2899681"/>
                    </a:xfrm>
                    <a:prstGeom prst="rect">
                      <a:avLst/>
                    </a:prstGeom>
                    <a:noFill/>
                  </pic:spPr>
                </pic:pic>
              </a:graphicData>
            </a:graphic>
          </wp:inline>
        </w:drawing>
      </w:r>
    </w:p>
    <w:p w14:paraId="2F6C3379" w14:textId="77777777" w:rsidR="00911FF5" w:rsidRPr="00B64BBC" w:rsidRDefault="00911FF5" w:rsidP="00FD4539">
      <w:pPr>
        <w:spacing w:after="0"/>
        <w:contextualSpacing/>
        <w:rPr>
          <w:rFonts w:ascii="Times New Roman" w:eastAsia="Times New Roman" w:hAnsi="Times New Roman"/>
          <w:sz w:val="16"/>
          <w:szCs w:val="16"/>
          <w:bdr w:val="none" w:sz="0" w:space="0" w:color="auto" w:frame="1"/>
          <w:lang w:eastAsia="en-GB"/>
        </w:rPr>
      </w:pPr>
      <w:r>
        <w:rPr>
          <w:rFonts w:ascii="Times New Roman" w:eastAsia="Times New Roman" w:hAnsi="Times New Roman"/>
          <w:sz w:val="16"/>
          <w:szCs w:val="16"/>
          <w:bdr w:val="none" w:sz="0" w:space="0" w:color="auto" w:frame="1"/>
          <w:lang w:eastAsia="en-GB"/>
        </w:rPr>
        <w:t xml:space="preserve">            </w:t>
      </w:r>
      <w:r w:rsidRPr="00B64BBC">
        <w:rPr>
          <w:rFonts w:ascii="Times New Roman" w:eastAsia="Times New Roman" w:hAnsi="Times New Roman"/>
          <w:sz w:val="16"/>
          <w:szCs w:val="16"/>
          <w:bdr w:val="none" w:sz="0" w:space="0" w:color="auto" w:frame="1"/>
          <w:lang w:eastAsia="en-GB"/>
        </w:rPr>
        <w:t>Avots:</w:t>
      </w:r>
      <w:r w:rsidRPr="00B64BBC">
        <w:rPr>
          <w:rFonts w:ascii="Times New Roman" w:eastAsia="Times New Roman" w:hAnsi="Times New Roman"/>
          <w:sz w:val="24"/>
          <w:szCs w:val="24"/>
          <w:bdr w:val="none" w:sz="0" w:space="0" w:color="auto" w:frame="1"/>
          <w:lang w:eastAsia="en-GB"/>
        </w:rPr>
        <w:t xml:space="preserve"> </w:t>
      </w:r>
      <w:r w:rsidRPr="00B64BBC">
        <w:rPr>
          <w:rFonts w:ascii="Times New Roman" w:eastAsia="Times New Roman" w:hAnsi="Times New Roman"/>
          <w:sz w:val="16"/>
          <w:szCs w:val="16"/>
          <w:bdr w:val="none" w:sz="0" w:space="0" w:color="auto" w:frame="1"/>
          <w:lang w:eastAsia="en-GB"/>
        </w:rPr>
        <w:t>Pētījums</w:t>
      </w:r>
    </w:p>
    <w:p w14:paraId="64FF626D" w14:textId="77777777" w:rsidR="00911FF5" w:rsidRDefault="00911FF5" w:rsidP="00FD4539">
      <w:pPr>
        <w:spacing w:after="0" w:line="276" w:lineRule="auto"/>
        <w:ind w:firstLine="720"/>
        <w:contextualSpacing/>
        <w:jc w:val="both"/>
        <w:rPr>
          <w:rFonts w:ascii="Times New Roman" w:eastAsia="Times New Roman" w:hAnsi="Times New Roman" w:cs="Times New Roman"/>
          <w:sz w:val="28"/>
          <w:szCs w:val="28"/>
          <w:bdr w:val="none" w:sz="0" w:space="0" w:color="auto" w:frame="1"/>
          <w:lang w:eastAsia="en-GB"/>
        </w:rPr>
      </w:pPr>
    </w:p>
    <w:p w14:paraId="1082E611" w14:textId="6AE97340" w:rsidR="002E6E17" w:rsidRDefault="002E6E17" w:rsidP="00E84677">
      <w:pPr>
        <w:spacing w:after="0"/>
        <w:ind w:firstLine="851"/>
        <w:jc w:val="both"/>
        <w:rPr>
          <w:rFonts w:ascii="Times New Roman" w:hAnsi="Times New Roman" w:cs="Times New Roman"/>
          <w:sz w:val="28"/>
          <w:szCs w:val="28"/>
        </w:rPr>
      </w:pPr>
      <w:r>
        <w:rPr>
          <w:rFonts w:ascii="Times New Roman" w:hAnsi="Times New Roman" w:cs="Times New Roman"/>
          <w:sz w:val="28"/>
          <w:szCs w:val="28"/>
        </w:rPr>
        <w:t>J</w:t>
      </w:r>
      <w:r w:rsidRPr="002E6E17">
        <w:rPr>
          <w:rFonts w:ascii="Times New Roman" w:hAnsi="Times New Roman" w:cs="Times New Roman"/>
          <w:sz w:val="28"/>
          <w:szCs w:val="28"/>
        </w:rPr>
        <w:t xml:space="preserve">āņem vērā, ka faktiskās būvniecības izmaksu izmaiņas būtiski var ietekmēt specifiski faktori, kas saistīti gan ar resursu deficītu lielo projektu </w:t>
      </w:r>
      <w:r w:rsidRPr="002E6E17">
        <w:rPr>
          <w:rFonts w:ascii="Times New Roman" w:hAnsi="Times New Roman" w:cs="Times New Roman"/>
          <w:sz w:val="28"/>
          <w:szCs w:val="28"/>
        </w:rPr>
        <w:lastRenderedPageBreak/>
        <w:t xml:space="preserve">straujas realizācijas gadījumā, piemēram, pieprasījums pēc vietējo grants karjeru resursiem Rail Baltica īstenošanas gadījumā, gan ar specifiskiem tirgus risinājumiem, piemēram, “trešo valstu” darbaspēka piesaiste, gan valsts iniciatīvām būvniecības sektora attīstībā un ēnu ekonomikas apkarošanas pasākumu ieviešanā. Tādēļ prognozes interpretējamas kā kopējā tirgus tendence, reālo būvniecības izmaksu izmaiņu dinamiku var ietekmēt specifisku faktoru un apstākļu </w:t>
      </w:r>
      <w:r w:rsidR="00220277">
        <w:rPr>
          <w:rFonts w:ascii="Times New Roman" w:hAnsi="Times New Roman" w:cs="Times New Roman"/>
          <w:sz w:val="28"/>
          <w:szCs w:val="28"/>
        </w:rPr>
        <w:t>īstenošanās</w:t>
      </w:r>
      <w:r w:rsidRPr="002E6E17">
        <w:rPr>
          <w:rFonts w:ascii="Times New Roman" w:hAnsi="Times New Roman" w:cs="Times New Roman"/>
          <w:sz w:val="28"/>
          <w:szCs w:val="28"/>
        </w:rPr>
        <w:t>.</w:t>
      </w:r>
    </w:p>
    <w:p w14:paraId="38271CFE" w14:textId="77777777" w:rsidR="00E84677" w:rsidRPr="005E5098" w:rsidRDefault="00E84677" w:rsidP="00E84677">
      <w:pPr>
        <w:spacing w:after="0"/>
        <w:ind w:firstLine="851"/>
        <w:jc w:val="both"/>
        <w:rPr>
          <w:rFonts w:ascii="Times New Roman" w:hAnsi="Times New Roman" w:cs="Times New Roman"/>
          <w:sz w:val="18"/>
          <w:szCs w:val="18"/>
        </w:rPr>
      </w:pPr>
    </w:p>
    <w:p w14:paraId="3D48FD13" w14:textId="740E4A92" w:rsidR="002E6E17" w:rsidRPr="00DB3D04" w:rsidRDefault="002E6E17" w:rsidP="002E6E17">
      <w:pPr>
        <w:pStyle w:val="Heading2"/>
        <w:rPr>
          <w:rFonts w:ascii="Times New Roman" w:eastAsia="Times New Roman" w:hAnsi="Times New Roman"/>
          <w:b/>
          <w:sz w:val="28"/>
          <w:szCs w:val="28"/>
          <w:bdr w:val="none" w:sz="0" w:space="0" w:color="auto" w:frame="1"/>
          <w:lang w:eastAsia="en-GB"/>
        </w:rPr>
      </w:pPr>
      <w:bookmarkStart w:id="16" w:name="_Toc15480933"/>
      <w:r>
        <w:rPr>
          <w:rFonts w:ascii="Times New Roman" w:eastAsia="Times New Roman" w:hAnsi="Times New Roman"/>
          <w:b/>
          <w:sz w:val="28"/>
          <w:szCs w:val="28"/>
          <w:bdr w:val="none" w:sz="0" w:space="0" w:color="auto" w:frame="1"/>
          <w:lang w:eastAsia="en-GB"/>
        </w:rPr>
        <w:t>2</w:t>
      </w:r>
      <w:r w:rsidRPr="00DB3D04">
        <w:rPr>
          <w:rFonts w:ascii="Times New Roman" w:eastAsia="Times New Roman" w:hAnsi="Times New Roman"/>
          <w:b/>
          <w:sz w:val="28"/>
          <w:szCs w:val="28"/>
          <w:bdr w:val="none" w:sz="0" w:space="0" w:color="auto" w:frame="1"/>
          <w:lang w:eastAsia="en-GB"/>
        </w:rPr>
        <w:t>.2.</w:t>
      </w:r>
      <w:r>
        <w:rPr>
          <w:rFonts w:ascii="Times New Roman" w:eastAsia="Times New Roman" w:hAnsi="Times New Roman"/>
          <w:b/>
          <w:sz w:val="28"/>
          <w:szCs w:val="28"/>
          <w:bdr w:val="none" w:sz="0" w:space="0" w:color="auto" w:frame="1"/>
          <w:lang w:eastAsia="en-GB"/>
        </w:rPr>
        <w:t>2.</w:t>
      </w:r>
      <w:r w:rsidRPr="00DB3D04">
        <w:rPr>
          <w:rFonts w:ascii="Times New Roman" w:eastAsia="Times New Roman" w:hAnsi="Times New Roman"/>
          <w:b/>
          <w:sz w:val="28"/>
          <w:szCs w:val="28"/>
          <w:bdr w:val="none" w:sz="0" w:space="0" w:color="auto" w:frame="1"/>
          <w:lang w:eastAsia="en-GB"/>
        </w:rPr>
        <w:t xml:space="preserve"> </w:t>
      </w:r>
      <w:r>
        <w:rPr>
          <w:rFonts w:ascii="Times New Roman" w:eastAsia="Times New Roman" w:hAnsi="Times New Roman"/>
          <w:b/>
          <w:sz w:val="28"/>
          <w:szCs w:val="28"/>
          <w:bdr w:val="none" w:sz="0" w:space="0" w:color="auto" w:frame="1"/>
          <w:lang w:eastAsia="en-GB"/>
        </w:rPr>
        <w:t>Būvniecības produkcijas i</w:t>
      </w:r>
      <w:r w:rsidRPr="00DB3D04">
        <w:rPr>
          <w:rFonts w:ascii="Times New Roman" w:eastAsia="Times New Roman" w:hAnsi="Times New Roman"/>
          <w:b/>
          <w:sz w:val="28"/>
          <w:szCs w:val="28"/>
          <w:bdr w:val="none" w:sz="0" w:space="0" w:color="auto" w:frame="1"/>
          <w:lang w:eastAsia="en-GB"/>
        </w:rPr>
        <w:t xml:space="preserve">zmaksu izmaiņas </w:t>
      </w:r>
      <w:r>
        <w:rPr>
          <w:rFonts w:ascii="Times New Roman" w:eastAsia="Times New Roman" w:hAnsi="Times New Roman"/>
          <w:b/>
          <w:sz w:val="28"/>
          <w:szCs w:val="28"/>
          <w:bdr w:val="none" w:sz="0" w:space="0" w:color="auto" w:frame="1"/>
          <w:lang w:eastAsia="en-GB"/>
        </w:rPr>
        <w:t>pa apakšnozarēm</w:t>
      </w:r>
      <w:bookmarkEnd w:id="16"/>
    </w:p>
    <w:p w14:paraId="73C6C4E2" w14:textId="77777777" w:rsidR="007A7F1F" w:rsidRPr="005E5098" w:rsidRDefault="007A7F1F" w:rsidP="007A7F1F">
      <w:pPr>
        <w:rPr>
          <w:rStyle w:val="Heading3Char"/>
          <w:rFonts w:ascii="Times New Roman" w:eastAsiaTheme="minorEastAsia" w:hAnsi="Times New Roman" w:cs="Times New Roman"/>
          <w:sz w:val="20"/>
          <w:szCs w:val="20"/>
        </w:rPr>
      </w:pPr>
    </w:p>
    <w:p w14:paraId="2B7C142E" w14:textId="4819FAF4" w:rsidR="007A7F1F" w:rsidRPr="00296C6E" w:rsidRDefault="007A7F1F" w:rsidP="00E84677">
      <w:pPr>
        <w:pStyle w:val="Heading3"/>
        <w:spacing w:line="360" w:lineRule="auto"/>
        <w:ind w:left="567" w:firstLine="284"/>
        <w:rPr>
          <w:rFonts w:ascii="Times New Roman" w:hAnsi="Times New Roman" w:cs="Times New Roman"/>
          <w:b/>
          <w:sz w:val="28"/>
          <w:szCs w:val="28"/>
          <w:u w:val="single"/>
        </w:rPr>
      </w:pPr>
      <w:bookmarkStart w:id="17" w:name="_Toc15480934"/>
      <w:r w:rsidRPr="00296C6E">
        <w:rPr>
          <w:rFonts w:ascii="Times New Roman" w:hAnsi="Times New Roman" w:cs="Times New Roman"/>
          <w:b/>
          <w:sz w:val="28"/>
          <w:szCs w:val="28"/>
          <w:u w:val="single"/>
        </w:rPr>
        <w:t>Dzīvojamo ēku būvniecības apakšnozare</w:t>
      </w:r>
      <w:bookmarkEnd w:id="17"/>
    </w:p>
    <w:p w14:paraId="521EE8C6" w14:textId="60026930" w:rsidR="007A7F1F" w:rsidRPr="00230F81" w:rsidRDefault="007A7F1F" w:rsidP="00E84677">
      <w:pPr>
        <w:spacing w:line="276" w:lineRule="auto"/>
        <w:ind w:firstLine="851"/>
        <w:jc w:val="both"/>
        <w:rPr>
          <w:rFonts w:ascii="Times New Roman" w:hAnsi="Times New Roman" w:cs="Times New Roman"/>
          <w:sz w:val="28"/>
          <w:szCs w:val="28"/>
          <w:u w:val="single"/>
        </w:rPr>
      </w:pPr>
      <w:r>
        <w:rPr>
          <w:rFonts w:ascii="Times New Roman" w:hAnsi="Times New Roman"/>
          <w:sz w:val="28"/>
          <w:szCs w:val="28"/>
        </w:rPr>
        <w:t>Ē</w:t>
      </w:r>
      <w:r w:rsidRPr="00230F81">
        <w:rPr>
          <w:rFonts w:ascii="Times New Roman" w:hAnsi="Times New Roman"/>
          <w:sz w:val="28"/>
          <w:szCs w:val="28"/>
        </w:rPr>
        <w:t>ku būvniecībā prognozes paredz vislielāko izmaksu izmaiņu pieaugumu</w:t>
      </w:r>
      <w:r>
        <w:rPr>
          <w:rFonts w:ascii="Times New Roman" w:hAnsi="Times New Roman"/>
          <w:sz w:val="28"/>
          <w:szCs w:val="28"/>
        </w:rPr>
        <w:t>.</w:t>
      </w:r>
      <w:r w:rsidRPr="00230F81">
        <w:rPr>
          <w:rFonts w:ascii="Times New Roman" w:hAnsi="Times New Roman"/>
          <w:sz w:val="28"/>
          <w:szCs w:val="28"/>
        </w:rPr>
        <w:t xml:space="preserve"> </w:t>
      </w:r>
      <w:r>
        <w:rPr>
          <w:rFonts w:ascii="Times New Roman" w:hAnsi="Times New Roman"/>
          <w:sz w:val="28"/>
          <w:szCs w:val="28"/>
        </w:rPr>
        <w:t>S</w:t>
      </w:r>
      <w:r w:rsidRPr="00230F81">
        <w:rPr>
          <w:rFonts w:ascii="Times New Roman" w:hAnsi="Times New Roman"/>
          <w:sz w:val="28"/>
          <w:szCs w:val="28"/>
        </w:rPr>
        <w:t>traujāk</w:t>
      </w:r>
      <w:r>
        <w:rPr>
          <w:rFonts w:ascii="Times New Roman" w:hAnsi="Times New Roman"/>
          <w:sz w:val="28"/>
          <w:szCs w:val="28"/>
        </w:rPr>
        <w:t>s</w:t>
      </w:r>
      <w:r w:rsidRPr="00230F81">
        <w:rPr>
          <w:rFonts w:ascii="Times New Roman" w:hAnsi="Times New Roman"/>
          <w:sz w:val="28"/>
          <w:szCs w:val="28"/>
        </w:rPr>
        <w:t xml:space="preserve"> apjomu pieaugumu</w:t>
      </w:r>
      <w:r>
        <w:rPr>
          <w:rFonts w:ascii="Times New Roman" w:hAnsi="Times New Roman"/>
          <w:sz w:val="28"/>
          <w:szCs w:val="28"/>
        </w:rPr>
        <w:t xml:space="preserve"> tiek prognozēts</w:t>
      </w:r>
      <w:r w:rsidRPr="00230F81">
        <w:rPr>
          <w:rFonts w:ascii="Times New Roman" w:hAnsi="Times New Roman"/>
          <w:sz w:val="28"/>
          <w:szCs w:val="28"/>
        </w:rPr>
        <w:t xml:space="preserve"> 2019. un 2020.gadā</w:t>
      </w:r>
      <w:r>
        <w:rPr>
          <w:rFonts w:ascii="Times New Roman" w:hAnsi="Times New Roman"/>
          <w:sz w:val="28"/>
          <w:szCs w:val="28"/>
        </w:rPr>
        <w:t>, ko</w:t>
      </w:r>
      <w:r w:rsidRPr="00230F81">
        <w:rPr>
          <w:rFonts w:ascii="Times New Roman" w:hAnsi="Times New Roman"/>
          <w:sz w:val="28"/>
          <w:szCs w:val="28"/>
        </w:rPr>
        <w:t xml:space="preserve"> nomaina lēnāks pieaugums un iespējams kritums 2022.gadā. </w:t>
      </w:r>
    </w:p>
    <w:p w14:paraId="19C79825" w14:textId="375A7DAD" w:rsidR="005D45F5" w:rsidRDefault="007A7F1F" w:rsidP="005E5098">
      <w:pPr>
        <w:spacing w:after="0" w:line="276" w:lineRule="auto"/>
        <w:ind w:firstLine="851"/>
        <w:jc w:val="both"/>
        <w:rPr>
          <w:rFonts w:ascii="Times New Roman" w:hAnsi="Times New Roman"/>
          <w:sz w:val="28"/>
          <w:szCs w:val="28"/>
        </w:rPr>
      </w:pPr>
      <w:r w:rsidRPr="007A7F1F">
        <w:rPr>
          <w:rFonts w:ascii="Times New Roman" w:hAnsi="Times New Roman" w:cs="Times New Roman"/>
          <w:sz w:val="28"/>
          <w:szCs w:val="28"/>
        </w:rPr>
        <w:t>Dzīvojamo ēku būvniecīb</w:t>
      </w:r>
      <w:r>
        <w:rPr>
          <w:rFonts w:ascii="Times New Roman" w:hAnsi="Times New Roman" w:cs="Times New Roman"/>
          <w:sz w:val="28"/>
          <w:szCs w:val="28"/>
        </w:rPr>
        <w:t xml:space="preserve">ā </w:t>
      </w:r>
      <w:r w:rsidRPr="00230F81">
        <w:rPr>
          <w:rFonts w:ascii="Times New Roman" w:hAnsi="Times New Roman" w:cs="Times New Roman"/>
          <w:bCs/>
          <w:sz w:val="28"/>
          <w:szCs w:val="28"/>
        </w:rPr>
        <w:t xml:space="preserve">prognozējams vienmērīgs būvniecības izmaksu izmaiņu pieaugums visā periodā no 2019. līdz 2023.gadam, </w:t>
      </w:r>
      <w:r w:rsidRPr="00230F81">
        <w:rPr>
          <w:rFonts w:ascii="Times New Roman" w:hAnsi="Times New Roman" w:cs="Times New Roman"/>
          <w:sz w:val="28"/>
          <w:szCs w:val="28"/>
        </w:rPr>
        <w:t xml:space="preserve">kumulatīvās </w:t>
      </w:r>
      <w:r>
        <w:rPr>
          <w:rFonts w:ascii="Times New Roman" w:hAnsi="Times New Roman" w:cs="Times New Roman"/>
          <w:sz w:val="28"/>
          <w:szCs w:val="28"/>
        </w:rPr>
        <w:t xml:space="preserve">izmaksu </w:t>
      </w:r>
      <w:r w:rsidRPr="00230F81">
        <w:rPr>
          <w:rFonts w:ascii="Times New Roman" w:hAnsi="Times New Roman" w:cs="Times New Roman"/>
          <w:sz w:val="28"/>
          <w:szCs w:val="28"/>
        </w:rPr>
        <w:t xml:space="preserve">izmaiņas pret 2018.gadu paredz pieaugumu 2019.gadā par 4%, 2020.gadā par 8%, 2021.gadā par 10,7%, 2022.gadā par 11,7% un 2023.gadā par 14,5% </w:t>
      </w:r>
      <w:r w:rsidRPr="00230F81">
        <w:rPr>
          <w:rStyle w:val="st"/>
          <w:rFonts w:ascii="Times New Roman" w:hAnsi="Times New Roman" w:cs="Times New Roman"/>
          <w:sz w:val="28"/>
          <w:szCs w:val="28"/>
        </w:rPr>
        <w:t>(skatīt attēlu Nr.</w:t>
      </w:r>
      <w:r w:rsidR="002729B2">
        <w:rPr>
          <w:rStyle w:val="st"/>
          <w:rFonts w:ascii="Times New Roman" w:hAnsi="Times New Roman" w:cs="Times New Roman"/>
          <w:sz w:val="28"/>
          <w:szCs w:val="28"/>
        </w:rPr>
        <w:t>12</w:t>
      </w:r>
      <w:r w:rsidRPr="00230F81">
        <w:rPr>
          <w:rStyle w:val="st"/>
          <w:rFonts w:ascii="Times New Roman" w:hAnsi="Times New Roman" w:cs="Times New Roman"/>
          <w:sz w:val="28"/>
          <w:szCs w:val="28"/>
        </w:rPr>
        <w:t>)</w:t>
      </w:r>
      <w:r w:rsidRPr="00230F81">
        <w:rPr>
          <w:rFonts w:ascii="Times New Roman" w:hAnsi="Times New Roman"/>
          <w:sz w:val="28"/>
          <w:szCs w:val="28"/>
        </w:rPr>
        <w:t xml:space="preserve">. </w:t>
      </w:r>
    </w:p>
    <w:p w14:paraId="3E8DF09B" w14:textId="77777777" w:rsidR="005E5098" w:rsidRPr="005E5098" w:rsidRDefault="005E5098" w:rsidP="005E5098">
      <w:pPr>
        <w:spacing w:after="0" w:line="276" w:lineRule="auto"/>
        <w:ind w:firstLine="851"/>
        <w:jc w:val="both"/>
        <w:rPr>
          <w:rFonts w:ascii="Times New Roman" w:hAnsi="Times New Roman"/>
          <w:sz w:val="18"/>
          <w:szCs w:val="18"/>
        </w:rPr>
      </w:pPr>
    </w:p>
    <w:p w14:paraId="427F347F" w14:textId="70B226A5" w:rsidR="005D45F5" w:rsidRPr="007A7F1F" w:rsidRDefault="005D45F5" w:rsidP="005E5098">
      <w:pPr>
        <w:spacing w:line="240" w:lineRule="auto"/>
        <w:jc w:val="center"/>
        <w:rPr>
          <w:rFonts w:ascii="Times New Roman" w:hAnsi="Times New Roman" w:cs="Times New Roman"/>
          <w:b/>
          <w:bCs/>
          <w:sz w:val="24"/>
          <w:szCs w:val="24"/>
        </w:rPr>
      </w:pPr>
      <w:r w:rsidRPr="007A7F1F">
        <w:rPr>
          <w:rFonts w:ascii="Times New Roman" w:hAnsi="Times New Roman" w:cs="Times New Roman"/>
          <w:b/>
          <w:bCs/>
          <w:i/>
          <w:iCs/>
          <w:sz w:val="24"/>
          <w:szCs w:val="24"/>
        </w:rPr>
        <w:t xml:space="preserve">Attēls Nr. </w:t>
      </w:r>
      <w:r w:rsidR="002729B2">
        <w:rPr>
          <w:rFonts w:ascii="Times New Roman" w:hAnsi="Times New Roman" w:cs="Times New Roman"/>
          <w:b/>
          <w:bCs/>
          <w:i/>
          <w:iCs/>
          <w:sz w:val="24"/>
          <w:szCs w:val="24"/>
        </w:rPr>
        <w:t>12</w:t>
      </w:r>
      <w:r w:rsidRPr="007A7F1F">
        <w:rPr>
          <w:rFonts w:ascii="Times New Roman" w:hAnsi="Times New Roman" w:cs="Times New Roman"/>
          <w:b/>
          <w:bCs/>
          <w:i/>
          <w:iCs/>
          <w:sz w:val="24"/>
          <w:szCs w:val="24"/>
        </w:rPr>
        <w:t>.</w:t>
      </w:r>
      <w:r w:rsidRPr="007A7F1F">
        <w:rPr>
          <w:rFonts w:ascii="Times New Roman" w:hAnsi="Times New Roman" w:cs="Times New Roman"/>
          <w:b/>
          <w:bCs/>
          <w:sz w:val="24"/>
          <w:szCs w:val="24"/>
        </w:rPr>
        <w:t xml:space="preserve"> </w:t>
      </w:r>
      <w:r w:rsidRPr="007A7F1F">
        <w:rPr>
          <w:rFonts w:ascii="Times New Roman" w:hAnsi="Times New Roman" w:cs="Times New Roman"/>
          <w:b/>
          <w:bCs/>
          <w:i/>
          <w:iCs/>
          <w:sz w:val="24"/>
          <w:szCs w:val="24"/>
        </w:rPr>
        <w:t>Būvniecības izmaksu izmaiņas</w:t>
      </w:r>
      <w:r>
        <w:rPr>
          <w:rFonts w:ascii="Times New Roman" w:hAnsi="Times New Roman" w:cs="Times New Roman"/>
          <w:b/>
          <w:bCs/>
          <w:i/>
          <w:iCs/>
          <w:sz w:val="24"/>
          <w:szCs w:val="24"/>
        </w:rPr>
        <w:t xml:space="preserve"> dzīvojamo ēku būvniecībā </w:t>
      </w:r>
      <w:r w:rsidRPr="007A7F1F">
        <w:rPr>
          <w:rFonts w:ascii="Times New Roman" w:hAnsi="Times New Roman" w:cs="Times New Roman"/>
          <w:b/>
          <w:bCs/>
          <w:i/>
          <w:iCs/>
          <w:sz w:val="24"/>
          <w:szCs w:val="24"/>
        </w:rPr>
        <w:t xml:space="preserve"> līdz 2018. gadam un prognozes no 2019. līdz 2023. gadam, kumulatīvās izmaiņas pret 2018. gadu, %</w:t>
      </w:r>
    </w:p>
    <w:p w14:paraId="0F2B8E94" w14:textId="77777777" w:rsidR="005E5098" w:rsidRDefault="005D45F5" w:rsidP="005E5098">
      <w:pPr>
        <w:spacing w:before="120" w:after="120" w:line="276" w:lineRule="auto"/>
        <w:jc w:val="center"/>
        <w:rPr>
          <w:rFonts w:ascii="Times New Roman" w:hAnsi="Times New Roman"/>
          <w:sz w:val="20"/>
          <w:szCs w:val="20"/>
        </w:rPr>
      </w:pPr>
      <w:r w:rsidRPr="00B2521E">
        <w:rPr>
          <w:bCs/>
          <w:noProof/>
          <w:sz w:val="20"/>
        </w:rPr>
        <w:drawing>
          <wp:inline distT="0" distB="0" distL="0" distR="0" wp14:anchorId="3321EFFE" wp14:editId="3739E215">
            <wp:extent cx="5347084" cy="3192145"/>
            <wp:effectExtent l="0" t="0" r="635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2719" cy="3231328"/>
                    </a:xfrm>
                    <a:prstGeom prst="rect">
                      <a:avLst/>
                    </a:prstGeom>
                    <a:noFill/>
                  </pic:spPr>
                </pic:pic>
              </a:graphicData>
            </a:graphic>
          </wp:inline>
        </w:drawing>
      </w:r>
    </w:p>
    <w:p w14:paraId="19DC4D5F" w14:textId="2E79BBEF" w:rsidR="005E5098" w:rsidRDefault="005D45F5" w:rsidP="005E5098">
      <w:pPr>
        <w:spacing w:before="120" w:after="120" w:line="276" w:lineRule="auto"/>
        <w:ind w:left="284"/>
        <w:rPr>
          <w:rFonts w:ascii="Times New Roman" w:hAnsi="Times New Roman"/>
          <w:sz w:val="20"/>
          <w:szCs w:val="20"/>
        </w:rPr>
      </w:pPr>
      <w:r w:rsidRPr="007A7F1F">
        <w:rPr>
          <w:rFonts w:ascii="Times New Roman" w:hAnsi="Times New Roman"/>
          <w:sz w:val="20"/>
          <w:szCs w:val="20"/>
        </w:rPr>
        <w:t>Avots: Pētījums</w:t>
      </w:r>
      <w:r w:rsidR="005E5098">
        <w:rPr>
          <w:rFonts w:ascii="Times New Roman" w:hAnsi="Times New Roman"/>
          <w:sz w:val="20"/>
          <w:szCs w:val="20"/>
        </w:rPr>
        <w:br w:type="page"/>
      </w:r>
    </w:p>
    <w:p w14:paraId="66A426F1" w14:textId="77777777" w:rsidR="005D45F5" w:rsidRPr="00296C6E" w:rsidRDefault="005D45F5" w:rsidP="005E5098">
      <w:pPr>
        <w:pStyle w:val="Heading3"/>
        <w:spacing w:line="360" w:lineRule="auto"/>
        <w:ind w:left="851"/>
        <w:rPr>
          <w:rFonts w:ascii="Times New Roman" w:hAnsi="Times New Roman" w:cs="Times New Roman"/>
          <w:b/>
          <w:sz w:val="28"/>
          <w:szCs w:val="28"/>
          <w:u w:val="single"/>
        </w:rPr>
      </w:pPr>
      <w:bookmarkStart w:id="18" w:name="_Toc15480935"/>
      <w:r w:rsidRPr="00296C6E">
        <w:rPr>
          <w:rFonts w:ascii="Times New Roman" w:hAnsi="Times New Roman" w:cs="Times New Roman"/>
          <w:b/>
          <w:sz w:val="28"/>
          <w:szCs w:val="28"/>
          <w:u w:val="single"/>
        </w:rPr>
        <w:lastRenderedPageBreak/>
        <w:t>Nedzīvojamo ēku būvniecības apakšnozare</w:t>
      </w:r>
      <w:bookmarkEnd w:id="18"/>
    </w:p>
    <w:p w14:paraId="4276D1F1" w14:textId="275DE674" w:rsidR="005D45F5" w:rsidRDefault="005D45F5" w:rsidP="005E5098">
      <w:pPr>
        <w:spacing w:line="276" w:lineRule="auto"/>
        <w:ind w:firstLine="851"/>
        <w:jc w:val="both"/>
        <w:rPr>
          <w:rFonts w:ascii="Times New Roman" w:hAnsi="Times New Roman" w:cs="Times New Roman"/>
          <w:sz w:val="24"/>
          <w:szCs w:val="24"/>
        </w:rPr>
      </w:pPr>
      <w:r w:rsidRPr="005D45F5">
        <w:rPr>
          <w:rFonts w:ascii="Times New Roman" w:hAnsi="Times New Roman" w:cs="Times New Roman"/>
          <w:sz w:val="28"/>
          <w:szCs w:val="28"/>
        </w:rPr>
        <w:t>Nedzīvojamo ēku būvniecības apakšnozar</w:t>
      </w:r>
      <w:r>
        <w:rPr>
          <w:rFonts w:ascii="Times New Roman" w:hAnsi="Times New Roman"/>
          <w:sz w:val="28"/>
          <w:szCs w:val="28"/>
        </w:rPr>
        <w:t xml:space="preserve">ē </w:t>
      </w:r>
      <w:r w:rsidRPr="008E40C5">
        <w:rPr>
          <w:rFonts w:ascii="Times New Roman" w:hAnsi="Times New Roman" w:cs="Times New Roman"/>
          <w:bCs/>
          <w:sz w:val="28"/>
          <w:szCs w:val="28"/>
        </w:rPr>
        <w:t xml:space="preserve">būvniecības izmaksu izmaiņu pieaugums visā periodā no 2019. līdz 2023.gadam prognozējams vienmērīgs, </w:t>
      </w:r>
      <w:r w:rsidRPr="008E40C5">
        <w:rPr>
          <w:rFonts w:ascii="Times New Roman" w:hAnsi="Times New Roman" w:cs="Times New Roman"/>
          <w:sz w:val="28"/>
          <w:szCs w:val="28"/>
        </w:rPr>
        <w:t xml:space="preserve">attiecīgi kumulatīvās izmaiņas 2018.gadā paredz izmaksu izmaiņu pieaugumu 2019.gadā par 5,2%, 2020.gadā par 10,7%, 2021.gadā par 14%, 2022.gadā par 16,2% un 2023.gadā par 21,1%. </w:t>
      </w:r>
      <w:r w:rsidRPr="008E40C5">
        <w:rPr>
          <w:rStyle w:val="st"/>
          <w:rFonts w:ascii="Times New Roman" w:hAnsi="Times New Roman" w:cs="Times New Roman"/>
          <w:sz w:val="28"/>
          <w:szCs w:val="28"/>
        </w:rPr>
        <w:t>(skatīt attēlu Nr.</w:t>
      </w:r>
      <w:r w:rsidR="002729B2">
        <w:rPr>
          <w:rStyle w:val="st"/>
          <w:rFonts w:ascii="Times New Roman" w:hAnsi="Times New Roman" w:cs="Times New Roman"/>
          <w:sz w:val="28"/>
          <w:szCs w:val="28"/>
        </w:rPr>
        <w:t>13</w:t>
      </w:r>
      <w:r w:rsidRPr="008E40C5">
        <w:rPr>
          <w:rStyle w:val="st"/>
          <w:rFonts w:ascii="Times New Roman" w:hAnsi="Times New Roman" w:cs="Times New Roman"/>
          <w:sz w:val="28"/>
          <w:szCs w:val="28"/>
        </w:rPr>
        <w:t>)</w:t>
      </w:r>
      <w:r w:rsidRPr="008E40C5">
        <w:rPr>
          <w:rFonts w:ascii="Times New Roman" w:hAnsi="Times New Roman"/>
          <w:sz w:val="28"/>
          <w:szCs w:val="28"/>
        </w:rPr>
        <w:t>.</w:t>
      </w:r>
      <w:r w:rsidRPr="00B64BBC">
        <w:rPr>
          <w:rFonts w:ascii="Times New Roman" w:hAnsi="Times New Roman"/>
          <w:sz w:val="24"/>
          <w:szCs w:val="24"/>
        </w:rPr>
        <w:t xml:space="preserve"> </w:t>
      </w:r>
      <w:r w:rsidRPr="00323246">
        <w:rPr>
          <w:rFonts w:ascii="Times New Roman" w:hAnsi="Times New Roman" w:cs="Times New Roman"/>
          <w:sz w:val="24"/>
          <w:szCs w:val="24"/>
        </w:rPr>
        <w:t xml:space="preserve"> </w:t>
      </w:r>
    </w:p>
    <w:p w14:paraId="36AB98EF" w14:textId="77777777" w:rsidR="005E5098" w:rsidRPr="00B64BBC" w:rsidRDefault="005E5098" w:rsidP="005E5098">
      <w:pPr>
        <w:spacing w:line="276" w:lineRule="auto"/>
        <w:ind w:firstLine="851"/>
        <w:jc w:val="both"/>
        <w:rPr>
          <w:rFonts w:ascii="Times New Roman" w:hAnsi="Times New Roman"/>
          <w:sz w:val="24"/>
          <w:szCs w:val="24"/>
        </w:rPr>
      </w:pPr>
    </w:p>
    <w:p w14:paraId="58875400" w14:textId="6FE6C8D0" w:rsidR="005D45F5" w:rsidRPr="00296C6E" w:rsidRDefault="005D45F5" w:rsidP="005D45F5">
      <w:pPr>
        <w:spacing w:line="240" w:lineRule="auto"/>
        <w:jc w:val="center"/>
        <w:rPr>
          <w:rFonts w:ascii="Times New Roman" w:hAnsi="Times New Roman" w:cs="Times New Roman"/>
          <w:b/>
          <w:bCs/>
          <w:i/>
          <w:iCs/>
          <w:sz w:val="24"/>
          <w:szCs w:val="24"/>
        </w:rPr>
      </w:pPr>
      <w:r w:rsidRPr="00296C6E">
        <w:rPr>
          <w:rFonts w:ascii="Times New Roman" w:hAnsi="Times New Roman" w:cs="Times New Roman"/>
          <w:b/>
          <w:bCs/>
          <w:i/>
          <w:iCs/>
          <w:sz w:val="24"/>
          <w:szCs w:val="24"/>
        </w:rPr>
        <w:t xml:space="preserve">Attēls Nr. </w:t>
      </w:r>
      <w:r w:rsidR="002729B2">
        <w:rPr>
          <w:rFonts w:ascii="Times New Roman" w:hAnsi="Times New Roman" w:cs="Times New Roman"/>
          <w:b/>
          <w:bCs/>
          <w:i/>
          <w:iCs/>
          <w:sz w:val="24"/>
          <w:szCs w:val="24"/>
        </w:rPr>
        <w:t>13</w:t>
      </w:r>
      <w:r w:rsidRPr="00296C6E">
        <w:rPr>
          <w:rFonts w:ascii="Times New Roman" w:hAnsi="Times New Roman" w:cs="Times New Roman"/>
          <w:b/>
          <w:bCs/>
          <w:i/>
          <w:iCs/>
          <w:sz w:val="24"/>
          <w:szCs w:val="24"/>
        </w:rPr>
        <w:t>.</w:t>
      </w:r>
      <w:r w:rsidRPr="00296C6E">
        <w:rPr>
          <w:rFonts w:ascii="Times New Roman" w:hAnsi="Times New Roman" w:cs="Times New Roman"/>
          <w:b/>
          <w:bCs/>
          <w:sz w:val="24"/>
          <w:szCs w:val="24"/>
        </w:rPr>
        <w:t xml:space="preserve"> </w:t>
      </w:r>
      <w:r w:rsidRPr="00296C6E">
        <w:rPr>
          <w:rFonts w:ascii="Times New Roman" w:hAnsi="Times New Roman" w:cs="Times New Roman"/>
          <w:b/>
          <w:bCs/>
          <w:i/>
          <w:iCs/>
          <w:sz w:val="24"/>
          <w:szCs w:val="24"/>
        </w:rPr>
        <w:t>Būvniecības izmaksu izmaiņas nedzīvojamo ēku apakšnozarē līdz 2018.gadam un prognozes no 2019. līdz 2023.gadam, kumulatīvās izmaiņas pret 2018.gadu, %</w:t>
      </w:r>
    </w:p>
    <w:p w14:paraId="2CC4E9B2" w14:textId="77777777" w:rsidR="00296C6E" w:rsidRDefault="005D45F5" w:rsidP="00296C6E">
      <w:pPr>
        <w:spacing w:line="240" w:lineRule="auto"/>
        <w:jc w:val="center"/>
        <w:rPr>
          <w:rFonts w:ascii="Times New Roman" w:hAnsi="Times New Roman"/>
          <w:sz w:val="20"/>
          <w:szCs w:val="20"/>
        </w:rPr>
      </w:pPr>
      <w:r w:rsidRPr="00B2521E">
        <w:rPr>
          <w:bCs/>
          <w:noProof/>
          <w:sz w:val="20"/>
        </w:rPr>
        <w:drawing>
          <wp:inline distT="0" distB="0" distL="0" distR="0" wp14:anchorId="7CC39966" wp14:editId="7BEE4AF1">
            <wp:extent cx="5806805" cy="322600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7301" cy="3304056"/>
                    </a:xfrm>
                    <a:prstGeom prst="rect">
                      <a:avLst/>
                    </a:prstGeom>
                    <a:noFill/>
                  </pic:spPr>
                </pic:pic>
              </a:graphicData>
            </a:graphic>
          </wp:inline>
        </w:drawing>
      </w:r>
      <w:r w:rsidR="00296C6E" w:rsidRPr="00296C6E">
        <w:rPr>
          <w:rFonts w:ascii="Times New Roman" w:hAnsi="Times New Roman"/>
          <w:sz w:val="20"/>
          <w:szCs w:val="20"/>
        </w:rPr>
        <w:t xml:space="preserve"> </w:t>
      </w:r>
    </w:p>
    <w:p w14:paraId="1151AC37" w14:textId="33507EF5" w:rsidR="005D45F5" w:rsidRDefault="00296C6E" w:rsidP="005E5098">
      <w:pPr>
        <w:rPr>
          <w:rFonts w:ascii="Times New Roman" w:hAnsi="Times New Roman"/>
          <w:sz w:val="20"/>
          <w:szCs w:val="20"/>
        </w:rPr>
      </w:pPr>
      <w:r w:rsidRPr="007A7F1F">
        <w:rPr>
          <w:rFonts w:ascii="Times New Roman" w:hAnsi="Times New Roman"/>
          <w:sz w:val="20"/>
          <w:szCs w:val="20"/>
        </w:rPr>
        <w:t>Avots: Pētījums</w:t>
      </w:r>
    </w:p>
    <w:p w14:paraId="267B82ED" w14:textId="77861A90" w:rsidR="00056C3A" w:rsidRPr="00056C3A" w:rsidRDefault="00056C3A" w:rsidP="00056C3A">
      <w:pPr>
        <w:ind w:firstLine="851"/>
        <w:jc w:val="both"/>
        <w:rPr>
          <w:rFonts w:ascii="Times New Roman" w:hAnsi="Times New Roman" w:cs="Times New Roman"/>
          <w:sz w:val="28"/>
          <w:szCs w:val="28"/>
        </w:rPr>
      </w:pPr>
      <w:r w:rsidRPr="00056C3A">
        <w:rPr>
          <w:rFonts w:ascii="Times New Roman" w:hAnsi="Times New Roman" w:cs="Times New Roman"/>
          <w:sz w:val="28"/>
          <w:szCs w:val="28"/>
        </w:rPr>
        <w:t xml:space="preserve">Publiskās būvniecības </w:t>
      </w:r>
      <w:r>
        <w:rPr>
          <w:rFonts w:ascii="Times New Roman" w:hAnsi="Times New Roman" w:cs="Times New Roman"/>
          <w:sz w:val="28"/>
          <w:szCs w:val="28"/>
        </w:rPr>
        <w:t xml:space="preserve">apakšnozares </w:t>
      </w:r>
      <w:r w:rsidRPr="00056C3A">
        <w:rPr>
          <w:rFonts w:ascii="Times New Roman" w:hAnsi="Times New Roman" w:cs="Times New Roman"/>
          <w:sz w:val="28"/>
          <w:szCs w:val="28"/>
        </w:rPr>
        <w:t>ekspertu vērtējumi norāda uz ievērojamu apjomu kritumu pēc 2021. gada, saistībā ar ES fondu apguves noslēgumu esošā plānošanas perioda ietvaros</w:t>
      </w:r>
      <w:r>
        <w:rPr>
          <w:rFonts w:ascii="Times New Roman" w:hAnsi="Times New Roman" w:cs="Times New Roman"/>
          <w:sz w:val="28"/>
          <w:szCs w:val="28"/>
        </w:rPr>
        <w:t xml:space="preserve">, tas varētu tikt pamatots ar to, ka </w:t>
      </w:r>
      <w:r w:rsidRPr="00056C3A">
        <w:rPr>
          <w:rFonts w:ascii="Times New Roman" w:hAnsi="Times New Roman" w:cs="Times New Roman"/>
          <w:sz w:val="28"/>
          <w:szCs w:val="28"/>
        </w:rPr>
        <w:t xml:space="preserve">prognozēs nepietiekoši ņemts vērā publisko būvniecības pasūtījumu svārstību riskus. </w:t>
      </w:r>
    </w:p>
    <w:p w14:paraId="56EF598B" w14:textId="3AFE1430" w:rsidR="00296C6E" w:rsidRPr="00296C6E" w:rsidRDefault="00296C6E" w:rsidP="00296C6E">
      <w:pPr>
        <w:ind w:firstLine="851"/>
        <w:jc w:val="both"/>
        <w:rPr>
          <w:rFonts w:ascii="Times New Roman" w:hAnsi="Times New Roman" w:cs="Times New Roman"/>
          <w:sz w:val="28"/>
          <w:szCs w:val="28"/>
        </w:rPr>
      </w:pPr>
      <w:r w:rsidRPr="00296C6E">
        <w:rPr>
          <w:rFonts w:ascii="Times New Roman" w:hAnsi="Times New Roman" w:cs="Times New Roman"/>
          <w:sz w:val="28"/>
          <w:szCs w:val="28"/>
        </w:rPr>
        <w:t>Dzīvojamo un nedzīvojamo ēku sektoros prognozes uzrāda ļoti līdzīgu apjoma dinamiku</w:t>
      </w:r>
      <w:r>
        <w:rPr>
          <w:rFonts w:ascii="Times New Roman" w:hAnsi="Times New Roman" w:cs="Times New Roman"/>
          <w:sz w:val="28"/>
          <w:szCs w:val="28"/>
        </w:rPr>
        <w:t>.</w:t>
      </w:r>
      <w:r w:rsidRPr="00296C6E">
        <w:rPr>
          <w:rFonts w:ascii="Times New Roman" w:hAnsi="Times New Roman" w:cs="Times New Roman"/>
          <w:sz w:val="28"/>
          <w:szCs w:val="28"/>
        </w:rPr>
        <w:t xml:space="preserve"> Datu līdzībai ir divi iemesli: ekspertu novērtējumi abos sektoros ir līdzīgi; CSP statistiskas uzskaites īpatnības – dzīvojamo un nedzīvojamo ēku būvniecības produkcijas apjomi netiek uzskaitīti atsevišķi, tādēļ kombinētajā prognozē abos sektoros ņemti vērā kopējie CSP dati par ēku būvniecības produkcijas apjoma dinamiku.</w:t>
      </w:r>
    </w:p>
    <w:p w14:paraId="45E58BA3" w14:textId="17F44AE8" w:rsidR="00056C3A" w:rsidRPr="00143BD7" w:rsidRDefault="007A7F1F" w:rsidP="005E5098">
      <w:pPr>
        <w:pStyle w:val="Heading3"/>
        <w:spacing w:line="360" w:lineRule="auto"/>
        <w:ind w:left="851"/>
        <w:rPr>
          <w:rFonts w:ascii="Times New Roman" w:hAnsi="Times New Roman" w:cs="Times New Roman"/>
          <w:b/>
          <w:sz w:val="28"/>
          <w:szCs w:val="28"/>
          <w:u w:val="single"/>
        </w:rPr>
      </w:pPr>
      <w:bookmarkStart w:id="19" w:name="_Toc15480936"/>
      <w:r w:rsidRPr="00143BD7">
        <w:rPr>
          <w:rStyle w:val="Heading3Char"/>
          <w:rFonts w:ascii="Times New Roman" w:hAnsi="Times New Roman" w:cs="Times New Roman"/>
          <w:b/>
          <w:sz w:val="28"/>
          <w:szCs w:val="28"/>
          <w:u w:val="single"/>
        </w:rPr>
        <w:lastRenderedPageBreak/>
        <w:t>Transport</w:t>
      </w:r>
      <w:r w:rsidR="00056C3A" w:rsidRPr="00143BD7">
        <w:rPr>
          <w:rStyle w:val="Heading3Char"/>
          <w:rFonts w:ascii="Times New Roman" w:hAnsi="Times New Roman" w:cs="Times New Roman"/>
          <w:b/>
          <w:sz w:val="28"/>
          <w:szCs w:val="28"/>
          <w:u w:val="single"/>
        </w:rPr>
        <w:t>būvju</w:t>
      </w:r>
      <w:r w:rsidR="00056C3A" w:rsidRPr="00143BD7">
        <w:rPr>
          <w:rStyle w:val="Heading3Char"/>
          <w:rFonts w:ascii="Times New Roman" w:hAnsi="Times New Roman" w:cs="Times New Roman"/>
          <w:sz w:val="28"/>
          <w:szCs w:val="28"/>
        </w:rPr>
        <w:t xml:space="preserve"> </w:t>
      </w:r>
      <w:r w:rsidR="00056C3A" w:rsidRPr="00143BD7">
        <w:rPr>
          <w:rFonts w:ascii="Times New Roman" w:hAnsi="Times New Roman" w:cs="Times New Roman"/>
          <w:b/>
          <w:sz w:val="28"/>
          <w:szCs w:val="28"/>
          <w:u w:val="single"/>
        </w:rPr>
        <w:t>būvniecības apakšnozare</w:t>
      </w:r>
      <w:bookmarkEnd w:id="19"/>
    </w:p>
    <w:p w14:paraId="09AEE9C6" w14:textId="6AA12C30" w:rsidR="00056C3A" w:rsidRPr="00143BD7" w:rsidRDefault="007A7F1F" w:rsidP="005E5098">
      <w:pPr>
        <w:spacing w:after="0" w:line="276" w:lineRule="auto"/>
        <w:ind w:firstLine="851"/>
        <w:jc w:val="both"/>
        <w:rPr>
          <w:rFonts w:ascii="Times New Roman" w:hAnsi="Times New Roman" w:cs="Times New Roman"/>
          <w:sz w:val="28"/>
          <w:szCs w:val="28"/>
        </w:rPr>
      </w:pPr>
      <w:r w:rsidRPr="00143BD7">
        <w:rPr>
          <w:rFonts w:ascii="Times New Roman" w:hAnsi="Times New Roman" w:cs="Times New Roman"/>
          <w:sz w:val="28"/>
          <w:szCs w:val="28"/>
        </w:rPr>
        <w:t xml:space="preserve">Būvniecības izmaksu izmaiņu pieaugums transporta nozarē visā periodā no 2019. līdz 2023.gadam prognozējams tuvu 2018.gada līmenim, attiecīgi kumulatīvās izmaiņas pret 2018.gadu paredz pieaugumu par </w:t>
      </w:r>
      <w:r w:rsidR="00FC6D43" w:rsidRPr="00143BD7">
        <w:rPr>
          <w:rFonts w:ascii="Times New Roman" w:hAnsi="Times New Roman" w:cs="Times New Roman"/>
          <w:sz w:val="28"/>
          <w:szCs w:val="28"/>
        </w:rPr>
        <w:t>4,1</w:t>
      </w:r>
      <w:r w:rsidRPr="00143BD7">
        <w:rPr>
          <w:rFonts w:ascii="Times New Roman" w:hAnsi="Times New Roman" w:cs="Times New Roman"/>
          <w:sz w:val="28"/>
          <w:szCs w:val="28"/>
        </w:rPr>
        <w:t xml:space="preserve">% 2019.gadā, par </w:t>
      </w:r>
      <w:r w:rsidR="00FC6D43" w:rsidRPr="00143BD7">
        <w:rPr>
          <w:rFonts w:ascii="Times New Roman" w:hAnsi="Times New Roman" w:cs="Times New Roman"/>
          <w:sz w:val="28"/>
          <w:szCs w:val="28"/>
        </w:rPr>
        <w:t>3,1</w:t>
      </w:r>
      <w:r w:rsidRPr="00143BD7">
        <w:rPr>
          <w:rFonts w:ascii="Times New Roman" w:hAnsi="Times New Roman" w:cs="Times New Roman"/>
          <w:sz w:val="28"/>
          <w:szCs w:val="28"/>
        </w:rPr>
        <w:t>% 2020.gadā</w:t>
      </w:r>
      <w:r w:rsidR="00FC6D43" w:rsidRPr="00143BD7">
        <w:rPr>
          <w:rFonts w:ascii="Times New Roman" w:hAnsi="Times New Roman" w:cs="Times New Roman"/>
          <w:sz w:val="28"/>
          <w:szCs w:val="28"/>
        </w:rPr>
        <w:t xml:space="preserve">, par 1,1% 2022.gadā </w:t>
      </w:r>
      <w:r w:rsidRPr="00143BD7">
        <w:rPr>
          <w:rFonts w:ascii="Times New Roman" w:hAnsi="Times New Roman" w:cs="Times New Roman"/>
          <w:sz w:val="28"/>
          <w:szCs w:val="28"/>
        </w:rPr>
        <w:t xml:space="preserve">un par </w:t>
      </w:r>
      <w:r w:rsidR="00FC6D43" w:rsidRPr="00143BD7">
        <w:rPr>
          <w:rFonts w:ascii="Times New Roman" w:hAnsi="Times New Roman" w:cs="Times New Roman"/>
          <w:sz w:val="28"/>
          <w:szCs w:val="28"/>
        </w:rPr>
        <w:t>1,</w:t>
      </w:r>
      <w:r w:rsidRPr="00143BD7">
        <w:rPr>
          <w:rFonts w:ascii="Times New Roman" w:hAnsi="Times New Roman" w:cs="Times New Roman"/>
          <w:sz w:val="28"/>
          <w:szCs w:val="28"/>
        </w:rPr>
        <w:t>3% 2023. gadā</w:t>
      </w:r>
      <w:r w:rsidR="00FC6D43" w:rsidRPr="00143BD7">
        <w:rPr>
          <w:rFonts w:ascii="Times New Roman" w:hAnsi="Times New Roman" w:cs="Times New Roman"/>
          <w:sz w:val="28"/>
          <w:szCs w:val="28"/>
        </w:rPr>
        <w:t xml:space="preserve"> </w:t>
      </w:r>
      <w:r w:rsidRPr="00143BD7">
        <w:rPr>
          <w:rFonts w:ascii="Times New Roman" w:hAnsi="Times New Roman" w:cs="Times New Roman"/>
          <w:sz w:val="28"/>
          <w:szCs w:val="28"/>
        </w:rPr>
        <w:t xml:space="preserve">(skatīt attēlu Nr. </w:t>
      </w:r>
      <w:r w:rsidR="002729B2" w:rsidRPr="00143BD7">
        <w:rPr>
          <w:rFonts w:ascii="Times New Roman" w:hAnsi="Times New Roman" w:cs="Times New Roman"/>
          <w:sz w:val="28"/>
          <w:szCs w:val="28"/>
        </w:rPr>
        <w:t>14</w:t>
      </w:r>
      <w:r w:rsidR="00EF4C0B" w:rsidRPr="00143BD7">
        <w:rPr>
          <w:rFonts w:ascii="Times New Roman" w:hAnsi="Times New Roman" w:cs="Times New Roman"/>
          <w:sz w:val="28"/>
          <w:szCs w:val="28"/>
        </w:rPr>
        <w:t>.</w:t>
      </w:r>
      <w:r w:rsidRPr="00143BD7">
        <w:rPr>
          <w:rFonts w:ascii="Times New Roman" w:hAnsi="Times New Roman" w:cs="Times New Roman"/>
          <w:sz w:val="28"/>
          <w:szCs w:val="28"/>
        </w:rPr>
        <w:t>).</w:t>
      </w:r>
    </w:p>
    <w:p w14:paraId="35BFB120" w14:textId="77777777" w:rsidR="0000759A" w:rsidRDefault="0000759A" w:rsidP="0000759A">
      <w:pPr>
        <w:spacing w:after="0" w:line="240" w:lineRule="auto"/>
        <w:rPr>
          <w:rFonts w:ascii="Times New Roman" w:hAnsi="Times New Roman" w:cs="Times New Roman"/>
          <w:bCs/>
          <w:i/>
          <w:iCs/>
          <w:sz w:val="24"/>
          <w:szCs w:val="24"/>
        </w:rPr>
      </w:pPr>
    </w:p>
    <w:p w14:paraId="073F2EB9" w14:textId="7711490E" w:rsidR="00056C3A" w:rsidRDefault="00056C3A" w:rsidP="005E5098">
      <w:pPr>
        <w:spacing w:after="0" w:line="240" w:lineRule="auto"/>
        <w:jc w:val="center"/>
        <w:rPr>
          <w:rFonts w:ascii="Times New Roman" w:hAnsi="Times New Roman" w:cs="Times New Roman"/>
          <w:b/>
          <w:bCs/>
          <w:i/>
          <w:iCs/>
          <w:sz w:val="24"/>
          <w:szCs w:val="24"/>
        </w:rPr>
      </w:pPr>
      <w:r w:rsidRPr="00056C3A">
        <w:rPr>
          <w:rFonts w:ascii="Times New Roman" w:hAnsi="Times New Roman" w:cs="Times New Roman"/>
          <w:b/>
          <w:bCs/>
          <w:i/>
          <w:iCs/>
          <w:sz w:val="24"/>
          <w:szCs w:val="24"/>
        </w:rPr>
        <w:t>Attēls Nr.</w:t>
      </w:r>
      <w:r w:rsidR="00EF4C0B">
        <w:rPr>
          <w:rFonts w:ascii="Times New Roman" w:hAnsi="Times New Roman" w:cs="Times New Roman"/>
          <w:b/>
          <w:bCs/>
          <w:i/>
          <w:iCs/>
          <w:sz w:val="24"/>
          <w:szCs w:val="24"/>
        </w:rPr>
        <w:t>1</w:t>
      </w:r>
      <w:r w:rsidR="002729B2">
        <w:rPr>
          <w:rFonts w:ascii="Times New Roman" w:hAnsi="Times New Roman" w:cs="Times New Roman"/>
          <w:b/>
          <w:bCs/>
          <w:i/>
          <w:iCs/>
          <w:sz w:val="24"/>
          <w:szCs w:val="24"/>
        </w:rPr>
        <w:t>4</w:t>
      </w:r>
      <w:r w:rsidRPr="00056C3A">
        <w:rPr>
          <w:rFonts w:ascii="Times New Roman" w:hAnsi="Times New Roman" w:cs="Times New Roman"/>
          <w:b/>
          <w:bCs/>
          <w:i/>
          <w:iCs/>
          <w:sz w:val="24"/>
          <w:szCs w:val="24"/>
        </w:rPr>
        <w:t>.</w:t>
      </w:r>
      <w:r w:rsidRPr="00056C3A">
        <w:rPr>
          <w:rFonts w:ascii="Times New Roman" w:hAnsi="Times New Roman" w:cs="Times New Roman"/>
          <w:b/>
          <w:bCs/>
          <w:sz w:val="24"/>
          <w:szCs w:val="24"/>
        </w:rPr>
        <w:t xml:space="preserve"> </w:t>
      </w:r>
      <w:r w:rsidRPr="00056C3A">
        <w:rPr>
          <w:rFonts w:ascii="Times New Roman" w:hAnsi="Times New Roman" w:cs="Times New Roman"/>
          <w:b/>
          <w:bCs/>
          <w:i/>
          <w:iCs/>
          <w:sz w:val="24"/>
          <w:szCs w:val="24"/>
        </w:rPr>
        <w:t>Būvniecības izmaksu izmaiņas transporta apakšnozarē līdz 2018.gadam un prognozes no 2019. līdz 202</w:t>
      </w:r>
      <w:r w:rsidR="00FC6D43">
        <w:rPr>
          <w:rFonts w:ascii="Times New Roman" w:hAnsi="Times New Roman" w:cs="Times New Roman"/>
          <w:b/>
          <w:bCs/>
          <w:i/>
          <w:iCs/>
          <w:sz w:val="24"/>
          <w:szCs w:val="24"/>
        </w:rPr>
        <w:t>2</w:t>
      </w:r>
      <w:r w:rsidRPr="00056C3A">
        <w:rPr>
          <w:rFonts w:ascii="Times New Roman" w:hAnsi="Times New Roman" w:cs="Times New Roman"/>
          <w:b/>
          <w:bCs/>
          <w:i/>
          <w:iCs/>
          <w:sz w:val="24"/>
          <w:szCs w:val="24"/>
        </w:rPr>
        <w:t>.gadam, kumulatīvās izmaiņas pret 2018.gadu, %</w:t>
      </w:r>
    </w:p>
    <w:p w14:paraId="156C016E" w14:textId="5599C731" w:rsidR="00056C3A" w:rsidRDefault="00FC6D43" w:rsidP="005E5098">
      <w:pPr>
        <w:spacing w:after="0"/>
        <w:jc w:val="center"/>
        <w:rPr>
          <w:rFonts w:ascii="Times New Roman" w:hAnsi="Times New Roman"/>
          <w:sz w:val="16"/>
          <w:szCs w:val="16"/>
        </w:rPr>
      </w:pPr>
      <w:r>
        <w:rPr>
          <w:noProof/>
        </w:rPr>
        <w:drawing>
          <wp:inline distT="0" distB="0" distL="0" distR="0" wp14:anchorId="077B84E3" wp14:editId="6CD2D908">
            <wp:extent cx="5760085" cy="3794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085" cy="3794125"/>
                    </a:xfrm>
                    <a:prstGeom prst="rect">
                      <a:avLst/>
                    </a:prstGeom>
                  </pic:spPr>
                </pic:pic>
              </a:graphicData>
            </a:graphic>
          </wp:inline>
        </w:drawing>
      </w:r>
    </w:p>
    <w:p w14:paraId="7C64C9D4" w14:textId="1DA28884" w:rsidR="00056C3A" w:rsidRDefault="00056C3A" w:rsidP="005E5098">
      <w:pPr>
        <w:spacing w:after="0"/>
        <w:rPr>
          <w:rFonts w:ascii="Times New Roman" w:hAnsi="Times New Roman"/>
          <w:sz w:val="20"/>
          <w:szCs w:val="20"/>
        </w:rPr>
      </w:pPr>
      <w:r w:rsidRPr="00056C3A">
        <w:rPr>
          <w:rFonts w:ascii="Times New Roman" w:hAnsi="Times New Roman"/>
          <w:sz w:val="16"/>
          <w:szCs w:val="16"/>
        </w:rPr>
        <w:t xml:space="preserve"> </w:t>
      </w:r>
      <w:r w:rsidRPr="005E5098">
        <w:rPr>
          <w:rFonts w:ascii="Times New Roman" w:hAnsi="Times New Roman"/>
          <w:sz w:val="20"/>
          <w:szCs w:val="20"/>
        </w:rPr>
        <w:t>Avots: Pētījums</w:t>
      </w:r>
    </w:p>
    <w:p w14:paraId="7F5BF8DB" w14:textId="77777777" w:rsidR="00623BEC" w:rsidRPr="005E5098" w:rsidRDefault="00623BEC" w:rsidP="005E5098">
      <w:pPr>
        <w:spacing w:after="0"/>
        <w:rPr>
          <w:rFonts w:ascii="Times New Roman" w:hAnsi="Times New Roman"/>
          <w:sz w:val="24"/>
          <w:szCs w:val="24"/>
        </w:rPr>
      </w:pPr>
    </w:p>
    <w:p w14:paraId="02CED5CF" w14:textId="391FDDDE" w:rsidR="00B36AE3" w:rsidRDefault="00B36AE3" w:rsidP="00B36AE3">
      <w:pPr>
        <w:ind w:firstLine="851"/>
        <w:jc w:val="both"/>
        <w:rPr>
          <w:rFonts w:ascii="Times New Roman" w:hAnsi="Times New Roman" w:cs="Times New Roman"/>
          <w:sz w:val="28"/>
          <w:szCs w:val="28"/>
        </w:rPr>
      </w:pPr>
      <w:r w:rsidRPr="00B36AE3">
        <w:rPr>
          <w:rFonts w:ascii="Times New Roman" w:hAnsi="Times New Roman" w:cs="Times New Roman"/>
          <w:sz w:val="28"/>
          <w:szCs w:val="28"/>
        </w:rPr>
        <w:t xml:space="preserve">Saskaņā ar CSP datiem 2019. gada 1. ceturksnī, salīdzinot ar 2018. gada 1. ceturksni, transporta objektu būvniecības izmaksu izmaiņu līmenis pieauga par 5,5 %, kas ir </w:t>
      </w:r>
      <w:r w:rsidR="00143BD7">
        <w:rPr>
          <w:rFonts w:ascii="Times New Roman" w:hAnsi="Times New Roman" w:cs="Times New Roman"/>
          <w:sz w:val="28"/>
          <w:szCs w:val="28"/>
        </w:rPr>
        <w:t>nedaudz</w:t>
      </w:r>
      <w:r w:rsidRPr="00B36AE3">
        <w:rPr>
          <w:rFonts w:ascii="Times New Roman" w:hAnsi="Times New Roman" w:cs="Times New Roman"/>
          <w:sz w:val="28"/>
          <w:szCs w:val="28"/>
        </w:rPr>
        <w:t xml:space="preserve"> augstāk nekā kombinētā prognoze visam 2019. gadam.</w:t>
      </w:r>
      <w:r>
        <w:rPr>
          <w:rFonts w:ascii="Times New Roman" w:hAnsi="Times New Roman" w:cs="Times New Roman"/>
          <w:sz w:val="28"/>
          <w:szCs w:val="28"/>
        </w:rPr>
        <w:t xml:space="preserve"> Tāpat</w:t>
      </w:r>
      <w:r w:rsidRPr="00B36AE3">
        <w:rPr>
          <w:rFonts w:ascii="Times New Roman" w:hAnsi="Times New Roman" w:cs="Times New Roman"/>
          <w:sz w:val="28"/>
          <w:szCs w:val="28"/>
        </w:rPr>
        <w:t xml:space="preserve"> jāņem vērā, ka lielo infrastruktūras projektu uzsākšanas brīdī pirms vai pēc 2023. gada, resursu piedāvājumam neatbilstoši augsts pieprasījums var izsaukt straujus izmaksu lēcienus. </w:t>
      </w:r>
    </w:p>
    <w:p w14:paraId="200899F0" w14:textId="168F6B16" w:rsidR="00143BD7" w:rsidRDefault="00143BD7">
      <w:pPr>
        <w:rPr>
          <w:rFonts w:ascii="Times New Roman" w:hAnsi="Times New Roman" w:cs="Times New Roman"/>
          <w:sz w:val="28"/>
          <w:szCs w:val="28"/>
        </w:rPr>
      </w:pPr>
      <w:r>
        <w:rPr>
          <w:rFonts w:ascii="Times New Roman" w:hAnsi="Times New Roman" w:cs="Times New Roman"/>
          <w:sz w:val="28"/>
          <w:szCs w:val="28"/>
        </w:rPr>
        <w:br w:type="page"/>
      </w:r>
      <w:bookmarkStart w:id="20" w:name="_GoBack"/>
      <w:bookmarkEnd w:id="20"/>
    </w:p>
    <w:p w14:paraId="3E6B0C53" w14:textId="7E68BE8D" w:rsidR="007A7F1F" w:rsidRPr="00B36AE3" w:rsidRDefault="007A7F1F" w:rsidP="00623BEC">
      <w:pPr>
        <w:pStyle w:val="Heading3"/>
        <w:ind w:firstLine="851"/>
        <w:rPr>
          <w:rFonts w:ascii="Times New Roman" w:hAnsi="Times New Roman"/>
          <w:b/>
          <w:sz w:val="28"/>
          <w:szCs w:val="28"/>
          <w:u w:val="single"/>
        </w:rPr>
      </w:pPr>
      <w:bookmarkStart w:id="21" w:name="_Toc15480937"/>
      <w:r w:rsidRPr="00B36AE3">
        <w:rPr>
          <w:rFonts w:ascii="Times New Roman" w:hAnsi="Times New Roman"/>
          <w:b/>
          <w:sz w:val="28"/>
          <w:szCs w:val="28"/>
          <w:u w:val="single"/>
        </w:rPr>
        <w:lastRenderedPageBreak/>
        <w:t>Pilsētas infrastruktūras objektu būvniecība</w:t>
      </w:r>
      <w:bookmarkEnd w:id="21"/>
    </w:p>
    <w:p w14:paraId="31185ED8" w14:textId="61238CD6" w:rsidR="007A7F1F" w:rsidRDefault="006F0F5D" w:rsidP="007A7F1F">
      <w:pPr>
        <w:spacing w:before="120" w:after="120" w:line="276" w:lineRule="auto"/>
        <w:ind w:firstLine="851"/>
        <w:jc w:val="both"/>
        <w:rPr>
          <w:rFonts w:ascii="Times New Roman" w:hAnsi="Times New Roman" w:cs="Times New Roman"/>
          <w:sz w:val="28"/>
          <w:szCs w:val="28"/>
        </w:rPr>
      </w:pPr>
      <w:r>
        <w:rPr>
          <w:rFonts w:ascii="Times New Roman" w:hAnsi="Times New Roman" w:cs="Times New Roman"/>
          <w:bCs/>
          <w:sz w:val="28"/>
          <w:szCs w:val="28"/>
        </w:rPr>
        <w:t>Pilsētas infrastruktūras objektu b</w:t>
      </w:r>
      <w:r w:rsidR="007A7F1F" w:rsidRPr="00AE339C">
        <w:rPr>
          <w:rFonts w:ascii="Times New Roman" w:hAnsi="Times New Roman" w:cs="Times New Roman"/>
          <w:bCs/>
          <w:sz w:val="28"/>
          <w:szCs w:val="28"/>
        </w:rPr>
        <w:t xml:space="preserve">ūvniecības izmaksu </w:t>
      </w:r>
      <w:r w:rsidR="007A7F1F" w:rsidRPr="00AE339C">
        <w:rPr>
          <w:rFonts w:ascii="Times New Roman" w:hAnsi="Times New Roman" w:cs="Times New Roman"/>
          <w:sz w:val="28"/>
          <w:szCs w:val="28"/>
        </w:rPr>
        <w:t>kumulatīvās izmaiņas pret 2018.gadu prognozē pieaugumu 2019.gadā par 0,9%, 2020.gadā par 2,2%, 2021.gadā par 1,7%, 2022.gadā par 0,2% un 2023.gadā samazinoties par -0,7% (skatīt attēlu Nr. 1</w:t>
      </w:r>
      <w:r w:rsidR="002729B2">
        <w:rPr>
          <w:rFonts w:ascii="Times New Roman" w:hAnsi="Times New Roman" w:cs="Times New Roman"/>
          <w:sz w:val="28"/>
          <w:szCs w:val="28"/>
        </w:rPr>
        <w:t>5</w:t>
      </w:r>
      <w:r w:rsidR="007A7F1F" w:rsidRPr="00AE339C">
        <w:rPr>
          <w:rFonts w:ascii="Times New Roman" w:hAnsi="Times New Roman" w:cs="Times New Roman"/>
          <w:sz w:val="28"/>
          <w:szCs w:val="28"/>
        </w:rPr>
        <w:t>).</w:t>
      </w:r>
    </w:p>
    <w:p w14:paraId="54D60C30" w14:textId="77777777" w:rsidR="0000759A" w:rsidRDefault="0000759A" w:rsidP="007A7F1F">
      <w:pPr>
        <w:spacing w:before="120" w:after="120" w:line="276" w:lineRule="auto"/>
        <w:ind w:firstLine="851"/>
        <w:jc w:val="both"/>
        <w:rPr>
          <w:rFonts w:ascii="Times New Roman" w:hAnsi="Times New Roman" w:cs="Times New Roman"/>
          <w:sz w:val="28"/>
          <w:szCs w:val="28"/>
        </w:rPr>
      </w:pPr>
    </w:p>
    <w:p w14:paraId="091EF347" w14:textId="1ECED775" w:rsidR="00B36AE3" w:rsidRDefault="00B36AE3" w:rsidP="00623BEC">
      <w:pPr>
        <w:spacing w:line="240" w:lineRule="auto"/>
        <w:jc w:val="center"/>
        <w:rPr>
          <w:rFonts w:ascii="Times New Roman" w:hAnsi="Times New Roman" w:cs="Times New Roman"/>
          <w:b/>
          <w:bCs/>
          <w:i/>
          <w:iCs/>
          <w:sz w:val="24"/>
          <w:szCs w:val="24"/>
        </w:rPr>
      </w:pPr>
      <w:r w:rsidRPr="00B36AE3">
        <w:rPr>
          <w:rFonts w:ascii="Times New Roman" w:hAnsi="Times New Roman" w:cs="Times New Roman"/>
          <w:b/>
          <w:bCs/>
          <w:i/>
          <w:iCs/>
          <w:sz w:val="24"/>
          <w:szCs w:val="24"/>
        </w:rPr>
        <w:t>Attēls Nr. 1</w:t>
      </w:r>
      <w:r w:rsidR="002729B2">
        <w:rPr>
          <w:rFonts w:ascii="Times New Roman" w:hAnsi="Times New Roman" w:cs="Times New Roman"/>
          <w:b/>
          <w:bCs/>
          <w:i/>
          <w:iCs/>
          <w:sz w:val="24"/>
          <w:szCs w:val="24"/>
        </w:rPr>
        <w:t>5</w:t>
      </w:r>
      <w:r w:rsidRPr="00B36AE3">
        <w:rPr>
          <w:rFonts w:ascii="Times New Roman" w:hAnsi="Times New Roman" w:cs="Times New Roman"/>
          <w:b/>
          <w:bCs/>
          <w:i/>
          <w:iCs/>
          <w:sz w:val="24"/>
          <w:szCs w:val="24"/>
        </w:rPr>
        <w:t>.</w:t>
      </w:r>
      <w:r w:rsidRPr="00B36AE3">
        <w:rPr>
          <w:rFonts w:ascii="Times New Roman" w:hAnsi="Times New Roman" w:cs="Times New Roman"/>
          <w:b/>
          <w:bCs/>
          <w:sz w:val="24"/>
          <w:szCs w:val="24"/>
        </w:rPr>
        <w:t xml:space="preserve"> </w:t>
      </w:r>
      <w:r w:rsidRPr="00B36AE3">
        <w:rPr>
          <w:rFonts w:ascii="Times New Roman" w:hAnsi="Times New Roman" w:cs="Times New Roman"/>
          <w:b/>
          <w:bCs/>
          <w:i/>
          <w:iCs/>
          <w:sz w:val="24"/>
          <w:szCs w:val="24"/>
        </w:rPr>
        <w:t>Būvniecības izmaksu izmaiņas maģistrālo pazemes cauruļvadu apakšnozarē līdz 2018.gadam un prognozes no 2019. līdz 2023.gadam, kumulatīvās izmaiņas pret 2018.gadu,%</w:t>
      </w:r>
    </w:p>
    <w:p w14:paraId="71714C86" w14:textId="77777777" w:rsidR="00623BEC" w:rsidRPr="00B2521E" w:rsidRDefault="00623BEC" w:rsidP="00623BEC">
      <w:pPr>
        <w:spacing w:after="0" w:line="276" w:lineRule="auto"/>
        <w:jc w:val="center"/>
        <w:rPr>
          <w:b/>
          <w:sz w:val="20"/>
        </w:rPr>
      </w:pPr>
      <w:r w:rsidRPr="00B2521E">
        <w:rPr>
          <w:bCs/>
          <w:noProof/>
        </w:rPr>
        <w:drawing>
          <wp:inline distT="0" distB="0" distL="0" distR="0" wp14:anchorId="6661048C" wp14:editId="5B3A3E40">
            <wp:extent cx="5316003" cy="3422015"/>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10760" cy="3483012"/>
                    </a:xfrm>
                    <a:prstGeom prst="rect">
                      <a:avLst/>
                    </a:prstGeom>
                    <a:noFill/>
                  </pic:spPr>
                </pic:pic>
              </a:graphicData>
            </a:graphic>
          </wp:inline>
        </w:drawing>
      </w:r>
    </w:p>
    <w:p w14:paraId="2291B767" w14:textId="62D96189" w:rsidR="00623BEC" w:rsidRDefault="00623BEC" w:rsidP="00623BEC">
      <w:pPr>
        <w:spacing w:after="0" w:line="240" w:lineRule="auto"/>
        <w:ind w:left="426"/>
        <w:jc w:val="both"/>
        <w:rPr>
          <w:rFonts w:ascii="Times New Roman" w:hAnsi="Times New Roman" w:cs="Times New Roman"/>
          <w:sz w:val="20"/>
          <w:szCs w:val="20"/>
        </w:rPr>
      </w:pPr>
      <w:r w:rsidRPr="00B36AE3">
        <w:rPr>
          <w:rFonts w:ascii="Times New Roman" w:hAnsi="Times New Roman" w:cs="Times New Roman"/>
          <w:sz w:val="20"/>
          <w:szCs w:val="20"/>
        </w:rPr>
        <w:t>Avots: Pētījums</w:t>
      </w:r>
    </w:p>
    <w:p w14:paraId="487FA50D" w14:textId="77777777" w:rsidR="00623BEC" w:rsidRDefault="00623BEC" w:rsidP="00623BEC">
      <w:pPr>
        <w:spacing w:before="120" w:after="120" w:line="240" w:lineRule="auto"/>
        <w:jc w:val="both"/>
        <w:rPr>
          <w:rFonts w:ascii="Times New Roman" w:hAnsi="Times New Roman" w:cs="Times New Roman"/>
          <w:sz w:val="20"/>
          <w:szCs w:val="20"/>
        </w:rPr>
      </w:pPr>
    </w:p>
    <w:p w14:paraId="4B35B4AC" w14:textId="77777777" w:rsidR="00623BEC" w:rsidRPr="006E3CD6" w:rsidRDefault="00623BEC" w:rsidP="00623BEC">
      <w:pPr>
        <w:ind w:firstLine="851"/>
        <w:jc w:val="both"/>
        <w:rPr>
          <w:rFonts w:ascii="Times New Roman" w:hAnsi="Times New Roman" w:cs="Times New Roman"/>
          <w:b/>
          <w:bCs/>
          <w:sz w:val="28"/>
          <w:szCs w:val="28"/>
        </w:rPr>
      </w:pPr>
      <w:r w:rsidRPr="006E3CD6">
        <w:rPr>
          <w:rFonts w:ascii="Times New Roman" w:hAnsi="Times New Roman" w:cs="Times New Roman"/>
          <w:sz w:val="28"/>
          <w:szCs w:val="28"/>
        </w:rPr>
        <w:t>Saskaņā ar CSP datiem 2019. gada 1. ceturksnī, salīdzinot ar 2018. gada 1. ceturksni, pazemes maģistrālo cauruļvadu būvniecības izmaksu izmaiņu līmenis pieauga par 3,6%. Šādā scenārijā arī 2020. gadā pieaugums būtu divreiz lielāks. Šīs atšķirības ir relatīvi nelielas, taču jāņem vērā, ka šajā segmentā liela nozīme ir publisko iepirkumu iecerēm un tām pieaugot, pastāv iespēja sagaidīt divreiz lielāku izmaksu izmaiņu kāpumu, nekā uzrāda kombinētā prognoze.</w:t>
      </w:r>
    </w:p>
    <w:p w14:paraId="2DF02968" w14:textId="40F9926F" w:rsidR="00623BEC" w:rsidRDefault="00623BEC">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41738EB5" w14:textId="77777777" w:rsidR="00623BEC" w:rsidRPr="00B36AE3" w:rsidRDefault="00623BEC" w:rsidP="00623BEC">
      <w:pPr>
        <w:spacing w:line="240" w:lineRule="auto"/>
        <w:jc w:val="center"/>
        <w:rPr>
          <w:rFonts w:ascii="Times New Roman" w:hAnsi="Times New Roman" w:cs="Times New Roman"/>
          <w:b/>
          <w:bCs/>
          <w:i/>
          <w:iCs/>
          <w:sz w:val="24"/>
          <w:szCs w:val="24"/>
        </w:rPr>
      </w:pPr>
    </w:p>
    <w:p w14:paraId="56038B64" w14:textId="3F96029F" w:rsidR="007A7F1F" w:rsidRPr="00DB3D04" w:rsidRDefault="007A7F1F" w:rsidP="007A7F1F">
      <w:pPr>
        <w:pStyle w:val="Heading2"/>
        <w:rPr>
          <w:rFonts w:ascii="Times New Roman" w:eastAsia="Times New Roman" w:hAnsi="Times New Roman"/>
          <w:b/>
          <w:sz w:val="28"/>
          <w:szCs w:val="28"/>
          <w:bdr w:val="none" w:sz="0" w:space="0" w:color="auto" w:frame="1"/>
          <w:lang w:eastAsia="en-GB"/>
        </w:rPr>
      </w:pPr>
      <w:bookmarkStart w:id="22" w:name="_Toc15480938"/>
      <w:r>
        <w:rPr>
          <w:rFonts w:ascii="Times New Roman" w:eastAsia="Times New Roman" w:hAnsi="Times New Roman"/>
          <w:b/>
          <w:sz w:val="28"/>
          <w:szCs w:val="28"/>
          <w:bdr w:val="none" w:sz="0" w:space="0" w:color="auto" w:frame="1"/>
          <w:lang w:eastAsia="en-GB"/>
        </w:rPr>
        <w:t>2.2.3. Būvniecības produkcijas kopējās i</w:t>
      </w:r>
      <w:r w:rsidRPr="00DB3D04">
        <w:rPr>
          <w:rFonts w:ascii="Times New Roman" w:eastAsia="Times New Roman" w:hAnsi="Times New Roman"/>
          <w:b/>
          <w:sz w:val="28"/>
          <w:szCs w:val="28"/>
          <w:bdr w:val="none" w:sz="0" w:space="0" w:color="auto" w:frame="1"/>
          <w:lang w:eastAsia="en-GB"/>
        </w:rPr>
        <w:t>zmaksu izmaiņas pa resursu veidiem un tās ietekmējošie faktori</w:t>
      </w:r>
      <w:bookmarkEnd w:id="22"/>
    </w:p>
    <w:p w14:paraId="11DC8257" w14:textId="77777777" w:rsidR="007A7F1F" w:rsidRDefault="007A7F1F" w:rsidP="00B605B8">
      <w:pPr>
        <w:spacing w:line="276" w:lineRule="auto"/>
        <w:ind w:firstLine="720"/>
        <w:jc w:val="both"/>
        <w:rPr>
          <w:rFonts w:ascii="Times New Roman" w:hAnsi="Times New Roman"/>
          <w:sz w:val="28"/>
          <w:szCs w:val="28"/>
        </w:rPr>
      </w:pPr>
    </w:p>
    <w:p w14:paraId="7F0DDB17" w14:textId="77777777" w:rsidR="00590D40" w:rsidRDefault="00A60BF4" w:rsidP="00826677">
      <w:pPr>
        <w:spacing w:before="120" w:after="120" w:line="276" w:lineRule="auto"/>
        <w:ind w:firstLine="851"/>
        <w:jc w:val="both"/>
        <w:rPr>
          <w:rFonts w:ascii="Times New Roman" w:hAnsi="Times New Roman" w:cs="Times New Roman"/>
          <w:sz w:val="28"/>
          <w:szCs w:val="28"/>
        </w:rPr>
      </w:pPr>
      <w:r w:rsidRPr="00DB3D04">
        <w:rPr>
          <w:rFonts w:ascii="Times New Roman" w:hAnsi="Times New Roman"/>
          <w:sz w:val="28"/>
          <w:szCs w:val="28"/>
        </w:rPr>
        <w:t>2018.gadā bija vērojams būvniecības izmaksu pieaugums visos resursu veidos, un izstrādātās prognozes liecina, ka tas turpināsies arī 2019. un 2020.gadā</w:t>
      </w:r>
      <w:r w:rsidR="006E3CD6">
        <w:rPr>
          <w:rFonts w:ascii="Times New Roman" w:hAnsi="Times New Roman"/>
          <w:sz w:val="28"/>
          <w:szCs w:val="28"/>
        </w:rPr>
        <w:t>.</w:t>
      </w:r>
      <w:r w:rsidR="008E40C5">
        <w:rPr>
          <w:rFonts w:ascii="Times New Roman" w:hAnsi="Times New Roman"/>
          <w:sz w:val="28"/>
          <w:szCs w:val="28"/>
        </w:rPr>
        <w:t xml:space="preserve"> </w:t>
      </w:r>
      <w:r w:rsidR="006E3CD6" w:rsidRPr="006E3CD6">
        <w:rPr>
          <w:rFonts w:ascii="Times New Roman" w:hAnsi="Times New Roman" w:cs="Times New Roman"/>
          <w:sz w:val="28"/>
          <w:szCs w:val="28"/>
        </w:rPr>
        <w:t xml:space="preserve">Kopējā tendence būvniecības izmaksu izmaiņām griezumā pa resursu veidiem - ir stabils pieaugums cilvēkresursu izmaksu izmaiņām, savukārt, ar izejmateriāliem un iekārtām saistītām izmaksu izmaiņām paredzama lielāka elastība, atkarībā no būvniecības produkcijas apjoma izmaiņām – pēc 2020. gada prognozētās izmaksu </w:t>
      </w:r>
      <w:r w:rsidR="006E3CD6" w:rsidRPr="006E3CD6">
        <w:rPr>
          <w:rStyle w:val="st"/>
          <w:rFonts w:ascii="Times New Roman" w:hAnsi="Times New Roman" w:cs="Times New Roman"/>
          <w:sz w:val="28"/>
          <w:szCs w:val="28"/>
        </w:rPr>
        <w:t>izmaiņas</w:t>
      </w:r>
      <w:r w:rsidR="006E3CD6" w:rsidRPr="006E3CD6">
        <w:rPr>
          <w:rFonts w:ascii="Times New Roman" w:hAnsi="Times New Roman" w:cs="Times New Roman"/>
          <w:sz w:val="28"/>
          <w:szCs w:val="28"/>
        </w:rPr>
        <w:t xml:space="preserve"> svārstīsies ap nulli</w:t>
      </w:r>
      <w:r w:rsidR="00590D40">
        <w:rPr>
          <w:rFonts w:ascii="Times New Roman" w:hAnsi="Times New Roman" w:cs="Times New Roman"/>
          <w:sz w:val="28"/>
          <w:szCs w:val="28"/>
        </w:rPr>
        <w:t>.</w:t>
      </w:r>
    </w:p>
    <w:p w14:paraId="3ABB2104" w14:textId="08887D8A" w:rsidR="00590D40" w:rsidRPr="00BC317C" w:rsidRDefault="00590D40" w:rsidP="00826677">
      <w:pPr>
        <w:spacing w:before="120" w:after="120" w:line="276" w:lineRule="auto"/>
        <w:ind w:firstLine="851"/>
        <w:jc w:val="both"/>
        <w:rPr>
          <w:rStyle w:val="st"/>
          <w:rFonts w:ascii="Times New Roman" w:hAnsi="Times New Roman" w:cs="Times New Roman"/>
          <w:sz w:val="28"/>
          <w:szCs w:val="28"/>
        </w:rPr>
      </w:pPr>
      <w:r w:rsidRPr="00BC317C">
        <w:rPr>
          <w:rFonts w:ascii="Times New Roman" w:eastAsia="Times New Roman" w:hAnsi="Times New Roman" w:cs="Times New Roman"/>
          <w:sz w:val="28"/>
          <w:szCs w:val="28"/>
          <w:bdr w:val="none" w:sz="0" w:space="0" w:color="auto" w:frame="1"/>
          <w:lang w:eastAsia="en-GB"/>
        </w:rPr>
        <w:t>No resursu veidiem visvairāk pieaugs strādnieku darba samaksa, kas 2023.gadā var sasniegt 20</w:t>
      </w:r>
      <w:r>
        <w:rPr>
          <w:rFonts w:ascii="Times New Roman" w:eastAsia="Times New Roman" w:hAnsi="Times New Roman" w:cs="Times New Roman"/>
          <w:sz w:val="28"/>
          <w:szCs w:val="28"/>
          <w:bdr w:val="none" w:sz="0" w:space="0" w:color="auto" w:frame="1"/>
          <w:lang w:eastAsia="en-GB"/>
        </w:rPr>
        <w:t>,39</w:t>
      </w:r>
      <w:r w:rsidRPr="00BC317C">
        <w:rPr>
          <w:rFonts w:ascii="Times New Roman" w:eastAsia="Times New Roman" w:hAnsi="Times New Roman" w:cs="Times New Roman"/>
          <w:sz w:val="28"/>
          <w:szCs w:val="28"/>
          <w:bdr w:val="none" w:sz="0" w:space="0" w:color="auto" w:frame="1"/>
          <w:lang w:eastAsia="en-GB"/>
        </w:rPr>
        <w:t>% kumulatīvo pieaugumu pret 2018.gada līmeni</w:t>
      </w:r>
      <w:r w:rsidRPr="00BC317C">
        <w:rPr>
          <w:rStyle w:val="st"/>
          <w:rFonts w:ascii="Times New Roman" w:hAnsi="Times New Roman" w:cs="Times New Roman"/>
          <w:sz w:val="28"/>
          <w:szCs w:val="28"/>
        </w:rPr>
        <w:t>.</w:t>
      </w:r>
    </w:p>
    <w:p w14:paraId="37EE7C95" w14:textId="77777777" w:rsidR="00590D40" w:rsidRDefault="00590D40" w:rsidP="00826677">
      <w:pPr>
        <w:spacing w:before="120" w:after="120" w:line="276" w:lineRule="auto"/>
        <w:ind w:firstLine="851"/>
        <w:jc w:val="both"/>
        <w:rPr>
          <w:rStyle w:val="st"/>
          <w:rFonts w:ascii="Times New Roman" w:hAnsi="Times New Roman" w:cs="Times New Roman"/>
          <w:sz w:val="28"/>
          <w:szCs w:val="28"/>
        </w:rPr>
      </w:pPr>
      <w:r w:rsidRPr="00BC317C">
        <w:rPr>
          <w:rStyle w:val="st"/>
          <w:rFonts w:ascii="Times New Roman" w:hAnsi="Times New Roman" w:cs="Times New Roman"/>
          <w:sz w:val="28"/>
          <w:szCs w:val="28"/>
        </w:rPr>
        <w:t>Arhitektūras un inženiertehnisko pakalpojumu; tehnisko pārbaužu un analīžu</w:t>
      </w:r>
      <w:r w:rsidRPr="00BC317C">
        <w:t xml:space="preserve"> </w:t>
      </w:r>
      <w:r w:rsidRPr="00BC317C">
        <w:rPr>
          <w:rFonts w:ascii="Times New Roman" w:hAnsi="Times New Roman" w:cs="Times New Roman"/>
          <w:sz w:val="28"/>
          <w:szCs w:val="28"/>
        </w:rPr>
        <w:t xml:space="preserve">pakalpojumu izmaksu izmaiņās </w:t>
      </w:r>
      <w:r w:rsidRPr="00BC317C">
        <w:rPr>
          <w:rStyle w:val="st"/>
          <w:rFonts w:ascii="Times New Roman" w:hAnsi="Times New Roman" w:cs="Times New Roman"/>
          <w:sz w:val="28"/>
          <w:szCs w:val="28"/>
        </w:rPr>
        <w:t>prognozējams pieaugums no 5,25% 2019.gadā līdz pat 15,18% 2023.gadā</w:t>
      </w:r>
      <w:r>
        <w:rPr>
          <w:rStyle w:val="st"/>
          <w:rFonts w:ascii="Times New Roman" w:hAnsi="Times New Roman" w:cs="Times New Roman"/>
          <w:sz w:val="28"/>
          <w:szCs w:val="28"/>
        </w:rPr>
        <w:t xml:space="preserve"> </w:t>
      </w:r>
      <w:r w:rsidRPr="00BC317C">
        <w:rPr>
          <w:rStyle w:val="st"/>
          <w:rFonts w:ascii="Times New Roman" w:hAnsi="Times New Roman" w:cs="Times New Roman"/>
          <w:sz w:val="28"/>
          <w:szCs w:val="28"/>
        </w:rPr>
        <w:t xml:space="preserve">pret 2018.gadu. </w:t>
      </w:r>
    </w:p>
    <w:p w14:paraId="532E29B5" w14:textId="77777777" w:rsidR="00590D40" w:rsidRDefault="00590D40" w:rsidP="00826677">
      <w:pPr>
        <w:spacing w:line="276" w:lineRule="auto"/>
        <w:ind w:firstLine="851"/>
        <w:jc w:val="both"/>
        <w:rPr>
          <w:rFonts w:ascii="Times New Roman" w:hAnsi="Times New Roman"/>
          <w:sz w:val="28"/>
          <w:szCs w:val="28"/>
        </w:rPr>
      </w:pPr>
      <w:r>
        <w:rPr>
          <w:rFonts w:ascii="Times New Roman" w:hAnsi="Times New Roman"/>
          <w:sz w:val="28"/>
          <w:szCs w:val="28"/>
        </w:rPr>
        <w:t>B</w:t>
      </w:r>
      <w:r w:rsidRPr="00DB3D04">
        <w:rPr>
          <w:rFonts w:ascii="Times New Roman" w:hAnsi="Times New Roman"/>
          <w:sz w:val="28"/>
          <w:szCs w:val="28"/>
        </w:rPr>
        <w:t>ūvmateriālu</w:t>
      </w:r>
      <w:r>
        <w:rPr>
          <w:rFonts w:ascii="Times New Roman" w:hAnsi="Times New Roman"/>
          <w:sz w:val="28"/>
          <w:szCs w:val="28"/>
        </w:rPr>
        <w:t xml:space="preserve"> kumulatīvās izmaksas 2023.gadā pieaugs līdz 4,97% pret 2018.gadu,</w:t>
      </w:r>
      <w:r w:rsidRPr="00DB3D04">
        <w:rPr>
          <w:rFonts w:ascii="Times New Roman" w:hAnsi="Times New Roman"/>
          <w:sz w:val="28"/>
          <w:szCs w:val="28"/>
        </w:rPr>
        <w:t xml:space="preserve"> </w:t>
      </w:r>
      <w:r>
        <w:rPr>
          <w:rFonts w:ascii="Times New Roman" w:hAnsi="Times New Roman"/>
          <w:sz w:val="28"/>
          <w:szCs w:val="28"/>
        </w:rPr>
        <w:t xml:space="preserve">savukārt </w:t>
      </w:r>
      <w:r w:rsidRPr="00DB3D04">
        <w:rPr>
          <w:rFonts w:ascii="Times New Roman" w:hAnsi="Times New Roman"/>
          <w:sz w:val="28"/>
          <w:szCs w:val="28"/>
        </w:rPr>
        <w:t>mašīnu un mehānismu uzturēšanas izmaks</w:t>
      </w:r>
      <w:r>
        <w:rPr>
          <w:rFonts w:ascii="Times New Roman" w:hAnsi="Times New Roman"/>
          <w:sz w:val="28"/>
          <w:szCs w:val="28"/>
        </w:rPr>
        <w:t>as</w:t>
      </w:r>
      <w:r w:rsidRPr="00DB3D04">
        <w:rPr>
          <w:rFonts w:ascii="Times New Roman" w:hAnsi="Times New Roman"/>
          <w:sz w:val="28"/>
          <w:szCs w:val="28"/>
        </w:rPr>
        <w:t xml:space="preserve"> </w:t>
      </w:r>
      <w:r>
        <w:rPr>
          <w:rFonts w:ascii="Times New Roman" w:hAnsi="Times New Roman"/>
          <w:sz w:val="28"/>
          <w:szCs w:val="28"/>
        </w:rPr>
        <w:t>pieaugs līdz 8,30% 2023.gadā pret 2018.gadu.</w:t>
      </w:r>
      <w:r w:rsidRPr="00DB3D04">
        <w:rPr>
          <w:rFonts w:ascii="Times New Roman" w:hAnsi="Times New Roman"/>
          <w:sz w:val="28"/>
          <w:szCs w:val="28"/>
        </w:rPr>
        <w:t xml:space="preserve"> </w:t>
      </w:r>
    </w:p>
    <w:p w14:paraId="1F18EBD1" w14:textId="7FBD6DFE" w:rsidR="00DD0705" w:rsidRPr="00DB3D04" w:rsidRDefault="00590D40" w:rsidP="00590D40">
      <w:pPr>
        <w:ind w:firstLine="851"/>
        <w:jc w:val="both"/>
        <w:rPr>
          <w:rFonts w:ascii="Times New Roman" w:hAnsi="Times New Roman"/>
          <w:sz w:val="28"/>
          <w:szCs w:val="28"/>
        </w:rPr>
      </w:pPr>
      <w:r>
        <w:rPr>
          <w:rFonts w:ascii="Times New Roman" w:eastAsia="Times New Roman" w:hAnsi="Times New Roman" w:cs="Times New Roman"/>
          <w:bCs/>
          <w:sz w:val="28"/>
          <w:szCs w:val="28"/>
          <w:bdr w:val="none" w:sz="0" w:space="0" w:color="auto" w:frame="1"/>
          <w:lang w:eastAsia="en-GB"/>
        </w:rPr>
        <w:t>B</w:t>
      </w:r>
      <w:r w:rsidRPr="00EF7261">
        <w:rPr>
          <w:rFonts w:ascii="Times New Roman" w:eastAsia="Times New Roman" w:hAnsi="Times New Roman" w:cs="Times New Roman"/>
          <w:bCs/>
          <w:sz w:val="28"/>
          <w:szCs w:val="28"/>
          <w:bdr w:val="none" w:sz="0" w:space="0" w:color="auto" w:frame="1"/>
          <w:lang w:eastAsia="en-GB"/>
        </w:rPr>
        <w:t>ūvmateriāl</w:t>
      </w:r>
      <w:r>
        <w:rPr>
          <w:rFonts w:ascii="Times New Roman" w:eastAsia="Times New Roman" w:hAnsi="Times New Roman" w:cs="Times New Roman"/>
          <w:bCs/>
          <w:sz w:val="28"/>
          <w:szCs w:val="28"/>
          <w:bdr w:val="none" w:sz="0" w:space="0" w:color="auto" w:frame="1"/>
          <w:lang w:eastAsia="en-GB"/>
        </w:rPr>
        <w:t>u</w:t>
      </w:r>
      <w:r w:rsidRPr="00EF7261">
        <w:rPr>
          <w:rFonts w:ascii="Times New Roman" w:eastAsia="Times New Roman" w:hAnsi="Times New Roman" w:cs="Times New Roman"/>
          <w:bCs/>
          <w:sz w:val="28"/>
          <w:szCs w:val="28"/>
          <w:bdr w:val="none" w:sz="0" w:space="0" w:color="auto" w:frame="1"/>
          <w:lang w:eastAsia="en-GB"/>
        </w:rPr>
        <w:t xml:space="preserve">  </w:t>
      </w:r>
      <w:r w:rsidRPr="00EF7261">
        <w:rPr>
          <w:rStyle w:val="st"/>
          <w:rFonts w:ascii="Times New Roman" w:hAnsi="Times New Roman" w:cs="Times New Roman"/>
          <w:bCs/>
          <w:sz w:val="28"/>
          <w:szCs w:val="28"/>
        </w:rPr>
        <w:t>izmaksu pieaugum</w:t>
      </w:r>
      <w:r>
        <w:rPr>
          <w:rStyle w:val="st"/>
          <w:rFonts w:ascii="Times New Roman" w:hAnsi="Times New Roman" w:cs="Times New Roman"/>
          <w:bCs/>
          <w:sz w:val="28"/>
          <w:szCs w:val="28"/>
        </w:rPr>
        <w:t>s pret 2018.gadu prognozēts</w:t>
      </w:r>
      <w:r w:rsidRPr="00EF7261">
        <w:rPr>
          <w:rStyle w:val="st"/>
          <w:rFonts w:ascii="Times New Roman" w:hAnsi="Times New Roman" w:cs="Times New Roman"/>
          <w:bCs/>
          <w:sz w:val="28"/>
          <w:szCs w:val="28"/>
        </w:rPr>
        <w:t xml:space="preserve"> 2019.gadā par 3,19%, 2020.gadā 5,8%, 2021.gadā 6,14%, 2022.gadā par 4,69% un 2023.gadā 4,97%</w:t>
      </w:r>
      <w:r>
        <w:rPr>
          <w:rStyle w:val="st"/>
          <w:rFonts w:ascii="Times New Roman" w:hAnsi="Times New Roman" w:cs="Times New Roman"/>
          <w:bCs/>
          <w:sz w:val="28"/>
          <w:szCs w:val="28"/>
        </w:rPr>
        <w:t>. Savukārt m</w:t>
      </w:r>
      <w:r w:rsidRPr="00EF7261">
        <w:rPr>
          <w:rStyle w:val="st"/>
          <w:rFonts w:ascii="Times New Roman" w:hAnsi="Times New Roman" w:cs="Times New Roman"/>
          <w:bCs/>
          <w:sz w:val="28"/>
          <w:szCs w:val="28"/>
        </w:rPr>
        <w:t>ašīnu un mehānismu uzturēšanas</w:t>
      </w:r>
      <w:r>
        <w:rPr>
          <w:rStyle w:val="st"/>
          <w:rFonts w:ascii="Times New Roman" w:hAnsi="Times New Roman" w:cs="Times New Roman"/>
          <w:bCs/>
          <w:sz w:val="28"/>
          <w:szCs w:val="28"/>
        </w:rPr>
        <w:t xml:space="preserve"> un</w:t>
      </w:r>
      <w:r w:rsidRPr="00EF7261">
        <w:rPr>
          <w:rStyle w:val="st"/>
          <w:rFonts w:ascii="Times New Roman" w:hAnsi="Times New Roman" w:cs="Times New Roman"/>
          <w:bCs/>
          <w:sz w:val="28"/>
          <w:szCs w:val="28"/>
        </w:rPr>
        <w:t xml:space="preserve"> ekspluatācijas izmaksu izmaiņas pret 2018.gadu ir mērenas, attiecīgi 2019.gadā pieaugums par 4,18%, 2020.gadā par 7,33%, 2021.gadā par 7,84%, 2022.gadā par 6,84% un 2023.gadā par 8,30%</w:t>
      </w:r>
      <w:r w:rsidRPr="00DB3D04">
        <w:rPr>
          <w:rFonts w:ascii="Times New Roman" w:hAnsi="Times New Roman"/>
          <w:sz w:val="28"/>
          <w:szCs w:val="28"/>
        </w:rPr>
        <w:t xml:space="preserve"> </w:t>
      </w:r>
      <w:r w:rsidR="008E40C5" w:rsidRPr="00DB3D04">
        <w:rPr>
          <w:rStyle w:val="st"/>
          <w:rFonts w:ascii="Times New Roman" w:hAnsi="Times New Roman" w:cs="Times New Roman"/>
          <w:sz w:val="28"/>
          <w:szCs w:val="28"/>
        </w:rPr>
        <w:t>(skatīt attēlu Nr.</w:t>
      </w:r>
      <w:r w:rsidR="006E3CD6">
        <w:rPr>
          <w:rStyle w:val="st"/>
          <w:rFonts w:ascii="Times New Roman" w:hAnsi="Times New Roman" w:cs="Times New Roman"/>
          <w:sz w:val="28"/>
          <w:szCs w:val="28"/>
        </w:rPr>
        <w:t>1</w:t>
      </w:r>
      <w:r w:rsidR="002729B2">
        <w:rPr>
          <w:rStyle w:val="st"/>
          <w:rFonts w:ascii="Times New Roman" w:hAnsi="Times New Roman" w:cs="Times New Roman"/>
          <w:sz w:val="28"/>
          <w:szCs w:val="28"/>
        </w:rPr>
        <w:t>6</w:t>
      </w:r>
      <w:r w:rsidR="008E40C5" w:rsidRPr="00DB3D04">
        <w:rPr>
          <w:rStyle w:val="st"/>
          <w:rFonts w:ascii="Times New Roman" w:hAnsi="Times New Roman" w:cs="Times New Roman"/>
          <w:sz w:val="28"/>
          <w:szCs w:val="28"/>
        </w:rPr>
        <w:t>)</w:t>
      </w:r>
      <w:r w:rsidR="00A60BF4" w:rsidRPr="00DB3D04">
        <w:rPr>
          <w:rFonts w:ascii="Times New Roman" w:hAnsi="Times New Roman"/>
          <w:sz w:val="28"/>
          <w:szCs w:val="28"/>
        </w:rPr>
        <w:t xml:space="preserve">. </w:t>
      </w:r>
    </w:p>
    <w:p w14:paraId="429B3209" w14:textId="3FAFF141" w:rsidR="00452DDC" w:rsidRPr="00B64BBC" w:rsidRDefault="00452DDC" w:rsidP="00826677">
      <w:pPr>
        <w:spacing w:line="240" w:lineRule="auto"/>
        <w:jc w:val="center"/>
        <w:rPr>
          <w:rFonts w:ascii="Times New Roman" w:hAnsi="Times New Roman"/>
          <w:sz w:val="20"/>
        </w:rPr>
      </w:pPr>
      <w:r w:rsidRPr="006E3CD6">
        <w:rPr>
          <w:rFonts w:ascii="Times New Roman" w:hAnsi="Times New Roman"/>
          <w:b/>
          <w:bCs/>
          <w:i/>
          <w:iCs/>
          <w:sz w:val="24"/>
          <w:szCs w:val="24"/>
        </w:rPr>
        <w:lastRenderedPageBreak/>
        <w:t xml:space="preserve">Attēls Nr. </w:t>
      </w:r>
      <w:r w:rsidR="00590D40">
        <w:rPr>
          <w:rFonts w:ascii="Times New Roman" w:hAnsi="Times New Roman"/>
          <w:b/>
          <w:bCs/>
          <w:i/>
          <w:iCs/>
          <w:sz w:val="24"/>
          <w:szCs w:val="24"/>
        </w:rPr>
        <w:t>1</w:t>
      </w:r>
      <w:r w:rsidR="002729B2">
        <w:rPr>
          <w:rFonts w:ascii="Times New Roman" w:hAnsi="Times New Roman"/>
          <w:b/>
          <w:bCs/>
          <w:i/>
          <w:iCs/>
          <w:sz w:val="24"/>
          <w:szCs w:val="24"/>
        </w:rPr>
        <w:t>6</w:t>
      </w:r>
      <w:r w:rsidRPr="006E3CD6">
        <w:rPr>
          <w:rFonts w:ascii="Times New Roman" w:hAnsi="Times New Roman"/>
          <w:b/>
          <w:bCs/>
          <w:i/>
          <w:iCs/>
          <w:sz w:val="24"/>
          <w:szCs w:val="24"/>
        </w:rPr>
        <w:t>. Būvniecības izmaksu izmaiņas līdz 2018.gadam un prognozes pa resursu veidiem no 2019. līdz 2023. gadam (kumulatīvās izmaiņas pret</w:t>
      </w:r>
      <w:r w:rsidRPr="00E50D87">
        <w:rPr>
          <w:rFonts w:ascii="Times New Roman" w:hAnsi="Times New Roman"/>
          <w:bCs/>
          <w:i/>
          <w:iCs/>
          <w:sz w:val="28"/>
          <w:szCs w:val="28"/>
        </w:rPr>
        <w:t xml:space="preserve"> </w:t>
      </w:r>
      <w:r w:rsidRPr="006E3CD6">
        <w:rPr>
          <w:rFonts w:ascii="Times New Roman" w:hAnsi="Times New Roman"/>
          <w:b/>
          <w:bCs/>
          <w:i/>
          <w:iCs/>
          <w:sz w:val="28"/>
          <w:szCs w:val="28"/>
        </w:rPr>
        <w:t>2018.gadu</w:t>
      </w:r>
      <w:r w:rsidRPr="00E50D87">
        <w:rPr>
          <w:rFonts w:ascii="Times New Roman" w:hAnsi="Times New Roman"/>
          <w:bCs/>
          <w:i/>
          <w:iCs/>
          <w:sz w:val="28"/>
          <w:szCs w:val="28"/>
        </w:rPr>
        <w:t>, %)</w:t>
      </w:r>
      <w:r w:rsidRPr="00B64BBC">
        <w:rPr>
          <w:rFonts w:ascii="Times New Roman" w:hAnsi="Times New Roman"/>
          <w:bCs/>
          <w:noProof/>
          <w:sz w:val="20"/>
        </w:rPr>
        <w:drawing>
          <wp:inline distT="0" distB="0" distL="0" distR="0" wp14:anchorId="56DB6832" wp14:editId="7E4E8E65">
            <wp:extent cx="5837529" cy="2621729"/>
            <wp:effectExtent l="0" t="0" r="0" b="7620"/>
            <wp:docPr id="1" name="Picture 100667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1426" cy="2695338"/>
                    </a:xfrm>
                    <a:prstGeom prst="rect">
                      <a:avLst/>
                    </a:prstGeom>
                    <a:noFill/>
                  </pic:spPr>
                </pic:pic>
              </a:graphicData>
            </a:graphic>
          </wp:inline>
        </w:drawing>
      </w:r>
    </w:p>
    <w:p w14:paraId="20EC4032" w14:textId="398F32F8" w:rsidR="00A60BF4" w:rsidRPr="00B64BBC" w:rsidRDefault="00452DDC" w:rsidP="00826677">
      <w:pPr>
        <w:spacing w:after="0"/>
        <w:ind w:firstLine="720"/>
        <w:jc w:val="both"/>
        <w:rPr>
          <w:rFonts w:ascii="Times New Roman" w:hAnsi="Times New Roman"/>
          <w:sz w:val="24"/>
          <w:szCs w:val="24"/>
        </w:rPr>
      </w:pPr>
      <w:r w:rsidRPr="00B64BBC">
        <w:rPr>
          <w:rFonts w:ascii="Times New Roman" w:eastAsia="Times New Roman" w:hAnsi="Times New Roman"/>
          <w:sz w:val="16"/>
          <w:szCs w:val="16"/>
          <w:bdr w:val="none" w:sz="0" w:space="0" w:color="auto" w:frame="1"/>
          <w:lang w:eastAsia="en-GB"/>
        </w:rPr>
        <w:t>Avots:</w:t>
      </w:r>
      <w:r w:rsidRPr="00B64BBC">
        <w:rPr>
          <w:rFonts w:ascii="Times New Roman" w:eastAsia="Times New Roman" w:hAnsi="Times New Roman"/>
          <w:sz w:val="24"/>
          <w:szCs w:val="24"/>
          <w:bdr w:val="none" w:sz="0" w:space="0" w:color="auto" w:frame="1"/>
          <w:lang w:eastAsia="en-GB"/>
        </w:rPr>
        <w:t xml:space="preserve"> </w:t>
      </w:r>
      <w:r w:rsidRPr="00B64BBC">
        <w:rPr>
          <w:rFonts w:ascii="Times New Roman" w:eastAsia="Times New Roman" w:hAnsi="Times New Roman"/>
          <w:sz w:val="16"/>
          <w:szCs w:val="16"/>
          <w:bdr w:val="none" w:sz="0" w:space="0" w:color="auto" w:frame="1"/>
          <w:lang w:eastAsia="en-GB"/>
        </w:rPr>
        <w:t>Pētījums</w:t>
      </w:r>
    </w:p>
    <w:p w14:paraId="4D05A8F0" w14:textId="6A82E5EA" w:rsidR="008E40C5" w:rsidRDefault="008E40C5" w:rsidP="00826677">
      <w:pPr>
        <w:spacing w:after="0" w:line="276" w:lineRule="auto"/>
        <w:ind w:firstLine="720"/>
        <w:jc w:val="both"/>
        <w:rPr>
          <w:rFonts w:ascii="Times New Roman" w:hAnsi="Times New Roman"/>
          <w:sz w:val="28"/>
          <w:szCs w:val="28"/>
        </w:rPr>
      </w:pPr>
      <w:r w:rsidRPr="00DB3D04">
        <w:rPr>
          <w:rFonts w:ascii="Times New Roman" w:hAnsi="Times New Roman"/>
          <w:sz w:val="28"/>
          <w:szCs w:val="28"/>
        </w:rPr>
        <w:t xml:space="preserve"> </w:t>
      </w:r>
    </w:p>
    <w:p w14:paraId="4B1974EA" w14:textId="1E031878" w:rsidR="00590D40" w:rsidRPr="00590D40" w:rsidRDefault="00590D40" w:rsidP="00590D40">
      <w:pPr>
        <w:ind w:firstLine="851"/>
        <w:jc w:val="both"/>
        <w:rPr>
          <w:rFonts w:ascii="Times New Roman" w:hAnsi="Times New Roman" w:cs="Times New Roman"/>
          <w:sz w:val="28"/>
          <w:szCs w:val="28"/>
        </w:rPr>
      </w:pPr>
      <w:r w:rsidRPr="00590D40">
        <w:rPr>
          <w:rFonts w:ascii="Times New Roman" w:hAnsi="Times New Roman" w:cs="Times New Roman"/>
          <w:sz w:val="28"/>
          <w:szCs w:val="28"/>
        </w:rPr>
        <w:t xml:space="preserve">Jāņem vērā, ka faktiskās būvniecības izmaksu izmaiņas pa resursu veidiem būtiski var ietekmēt specifiskie pieprasījuma un piedāvājuma risinājumu faktori un paredzams, ka tas var būt vairāk attiecināms uz darbaspēka un būvmateriālu izmaksu izmaiņām. Ekspertu vērtējumi par ēnu ekonomikas apkarošanas pasākumu ietekmi uzrāda, ka lielāka ietekme paredzama uz darbaspēka izmaksu </w:t>
      </w:r>
      <w:r w:rsidRPr="00590D40">
        <w:rPr>
          <w:rStyle w:val="st"/>
          <w:rFonts w:ascii="Times New Roman" w:hAnsi="Times New Roman" w:cs="Times New Roman"/>
          <w:sz w:val="28"/>
          <w:szCs w:val="28"/>
        </w:rPr>
        <w:t>izmaiņu</w:t>
      </w:r>
      <w:r w:rsidRPr="00590D40">
        <w:rPr>
          <w:rFonts w:ascii="Times New Roman" w:hAnsi="Times New Roman" w:cs="Times New Roman"/>
          <w:sz w:val="28"/>
          <w:szCs w:val="28"/>
        </w:rPr>
        <w:t xml:space="preserve"> pieaugumu. Tas nozīmē, ka darbaspēka izmaksu </w:t>
      </w:r>
      <w:r w:rsidRPr="00590D40">
        <w:rPr>
          <w:rStyle w:val="st"/>
          <w:rFonts w:ascii="Times New Roman" w:hAnsi="Times New Roman" w:cs="Times New Roman"/>
          <w:sz w:val="28"/>
          <w:szCs w:val="28"/>
        </w:rPr>
        <w:t>izmaiņu</w:t>
      </w:r>
      <w:r w:rsidRPr="00590D40">
        <w:rPr>
          <w:rFonts w:ascii="Times New Roman" w:hAnsi="Times New Roman" w:cs="Times New Roman"/>
          <w:sz w:val="28"/>
          <w:szCs w:val="28"/>
        </w:rPr>
        <w:t xml:space="preserve"> pieauguma apmērs un dinamika atkarīga arī no ēnu ekonomikas apkarošanas pasākumu ieviešanas efektivitātes.</w:t>
      </w:r>
    </w:p>
    <w:p w14:paraId="0ACDE917" w14:textId="77777777" w:rsidR="00590D40" w:rsidRPr="00BC317C" w:rsidRDefault="00590D40" w:rsidP="00590D40">
      <w:pPr>
        <w:spacing w:before="120" w:after="120" w:line="276" w:lineRule="auto"/>
        <w:ind w:firstLine="709"/>
        <w:jc w:val="both"/>
        <w:rPr>
          <w:rStyle w:val="st"/>
          <w:rFonts w:ascii="Times New Roman" w:hAnsi="Times New Roman" w:cs="Times New Roman"/>
          <w:sz w:val="28"/>
          <w:szCs w:val="28"/>
        </w:rPr>
      </w:pPr>
      <w:r w:rsidRPr="00BC317C">
        <w:rPr>
          <w:rStyle w:val="st"/>
          <w:rFonts w:ascii="Times New Roman" w:hAnsi="Times New Roman" w:cs="Times New Roman"/>
          <w:sz w:val="28"/>
          <w:szCs w:val="28"/>
        </w:rPr>
        <w:t>Būtiskākie</w:t>
      </w:r>
      <w:r w:rsidRPr="00BC317C">
        <w:rPr>
          <w:rFonts w:ascii="Times New Roman" w:eastAsia="Times New Roman" w:hAnsi="Times New Roman" w:cs="Times New Roman"/>
          <w:sz w:val="28"/>
          <w:szCs w:val="28"/>
          <w:bdr w:val="none" w:sz="0" w:space="0" w:color="auto" w:frame="1"/>
          <w:lang w:eastAsia="en-GB"/>
        </w:rPr>
        <w:t xml:space="preserve"> d</w:t>
      </w:r>
      <w:r w:rsidRPr="00BC317C">
        <w:rPr>
          <w:rFonts w:ascii="Times New Roman" w:hAnsi="Times New Roman" w:cs="Times New Roman"/>
          <w:bCs/>
          <w:sz w:val="28"/>
          <w:szCs w:val="28"/>
        </w:rPr>
        <w:t xml:space="preserve">arbaspēka izmaksu izmaiņas ietekmējošie faktori, kas tika noteikti ekspertvērtējumā 10 ballu sistēmā, ir </w:t>
      </w:r>
      <w:r w:rsidRPr="00BC317C">
        <w:rPr>
          <w:rStyle w:val="st"/>
          <w:rFonts w:ascii="Times New Roman" w:hAnsi="Times New Roman" w:cs="Times New Roman"/>
          <w:sz w:val="28"/>
          <w:szCs w:val="28"/>
        </w:rPr>
        <w:t xml:space="preserve">būvniecības </w:t>
      </w:r>
      <w:r w:rsidRPr="00BC317C">
        <w:rPr>
          <w:rFonts w:ascii="Times New Roman" w:hAnsi="Times New Roman" w:cs="Times New Roman"/>
          <w:sz w:val="28"/>
          <w:szCs w:val="28"/>
        </w:rPr>
        <w:t>produkcijas</w:t>
      </w:r>
      <w:r w:rsidRPr="00BC317C">
        <w:rPr>
          <w:rStyle w:val="st"/>
          <w:rFonts w:ascii="Times New Roman" w:hAnsi="Times New Roman" w:cs="Times New Roman"/>
          <w:sz w:val="28"/>
          <w:szCs w:val="28"/>
        </w:rPr>
        <w:t xml:space="preserve"> apjoms ar vidējo vērtējumu 8,7  un par publiskiem līdzekļiem īstenoto būvniecības ieceru apjoms 7,65, tam seko darbaspēku nodokļu līmenis Latvijā 7,69, kā arī darbaspēka pieprasījums un samaksas līmenis būvniecības nozarē ES valstīs 7,2. </w:t>
      </w:r>
    </w:p>
    <w:p w14:paraId="0FF9574B" w14:textId="329E8061" w:rsidR="00575CDC" w:rsidRDefault="00EF7261" w:rsidP="00EF7261">
      <w:pPr>
        <w:ind w:firstLine="709"/>
        <w:jc w:val="both"/>
        <w:rPr>
          <w:rStyle w:val="st"/>
          <w:rFonts w:ascii="Times New Roman" w:hAnsi="Times New Roman"/>
          <w:sz w:val="28"/>
          <w:szCs w:val="28"/>
        </w:rPr>
      </w:pPr>
      <w:r>
        <w:rPr>
          <w:rStyle w:val="st"/>
          <w:rFonts w:ascii="Times New Roman" w:hAnsi="Times New Roman"/>
          <w:sz w:val="28"/>
          <w:szCs w:val="28"/>
        </w:rPr>
        <w:t>B</w:t>
      </w:r>
      <w:r w:rsidR="00575CDC" w:rsidRPr="00EF7261">
        <w:rPr>
          <w:rStyle w:val="st"/>
          <w:rFonts w:ascii="Times New Roman" w:hAnsi="Times New Roman"/>
          <w:sz w:val="28"/>
          <w:szCs w:val="28"/>
        </w:rPr>
        <w:t xml:space="preserve">ūvmateriālu izmaksu izmaiņas būtiskākais ietekmējošais </w:t>
      </w:r>
      <w:r w:rsidR="00061711" w:rsidRPr="00EF7261">
        <w:rPr>
          <w:rStyle w:val="st"/>
          <w:rFonts w:ascii="Times New Roman" w:hAnsi="Times New Roman"/>
          <w:sz w:val="28"/>
          <w:szCs w:val="28"/>
        </w:rPr>
        <w:t>fa</w:t>
      </w:r>
      <w:r w:rsidR="00B64BBC" w:rsidRPr="00EF7261">
        <w:rPr>
          <w:rStyle w:val="st"/>
          <w:rFonts w:ascii="Times New Roman" w:hAnsi="Times New Roman"/>
          <w:sz w:val="28"/>
          <w:szCs w:val="28"/>
        </w:rPr>
        <w:t>k</w:t>
      </w:r>
      <w:r w:rsidR="00061711" w:rsidRPr="00EF7261">
        <w:rPr>
          <w:rStyle w:val="st"/>
          <w:rFonts w:ascii="Times New Roman" w:hAnsi="Times New Roman"/>
          <w:sz w:val="28"/>
          <w:szCs w:val="28"/>
        </w:rPr>
        <w:t>tors</w:t>
      </w:r>
      <w:r w:rsidRPr="00EF7261">
        <w:rPr>
          <w:rFonts w:ascii="Times New Roman" w:hAnsi="Times New Roman"/>
          <w:bCs/>
          <w:sz w:val="28"/>
          <w:szCs w:val="28"/>
        </w:rPr>
        <w:t xml:space="preserve">, kas tika noteikts ekspertvērtējumā 10 ballu sistēmā, </w:t>
      </w:r>
      <w:r w:rsidRPr="00EF7261">
        <w:rPr>
          <w:rStyle w:val="st"/>
          <w:rFonts w:ascii="Times New Roman" w:hAnsi="Times New Roman"/>
          <w:sz w:val="28"/>
          <w:szCs w:val="28"/>
        </w:rPr>
        <w:t xml:space="preserve">bija </w:t>
      </w:r>
      <w:r w:rsidR="00230F81">
        <w:rPr>
          <w:rStyle w:val="st"/>
          <w:rFonts w:ascii="Times New Roman" w:hAnsi="Times New Roman"/>
          <w:sz w:val="28"/>
          <w:szCs w:val="28"/>
        </w:rPr>
        <w:t>b</w:t>
      </w:r>
      <w:r w:rsidR="00230F81" w:rsidRPr="00EF7261">
        <w:rPr>
          <w:rStyle w:val="st"/>
          <w:rFonts w:ascii="Times New Roman" w:hAnsi="Times New Roman"/>
          <w:sz w:val="28"/>
          <w:szCs w:val="28"/>
        </w:rPr>
        <w:t xml:space="preserve">ūvniecības </w:t>
      </w:r>
      <w:r w:rsidR="00230F81" w:rsidRPr="00EF7261">
        <w:rPr>
          <w:rFonts w:ascii="Times New Roman" w:hAnsi="Times New Roman"/>
          <w:sz w:val="28"/>
          <w:szCs w:val="28"/>
        </w:rPr>
        <w:t>produkcijas</w:t>
      </w:r>
      <w:r w:rsidR="00230F81" w:rsidRPr="00EF7261">
        <w:rPr>
          <w:rStyle w:val="st"/>
          <w:rFonts w:ascii="Times New Roman" w:hAnsi="Times New Roman"/>
          <w:sz w:val="28"/>
          <w:szCs w:val="28"/>
        </w:rPr>
        <w:t xml:space="preserve"> apjoms </w:t>
      </w:r>
      <w:r w:rsidR="00575CDC" w:rsidRPr="00EF7261">
        <w:rPr>
          <w:rStyle w:val="st"/>
          <w:rFonts w:ascii="Times New Roman" w:hAnsi="Times New Roman"/>
          <w:sz w:val="28"/>
          <w:szCs w:val="28"/>
        </w:rPr>
        <w:t>ar vidējo vērtējumu 7,93</w:t>
      </w:r>
      <w:r w:rsidR="00230F81">
        <w:rPr>
          <w:rStyle w:val="st"/>
          <w:rFonts w:ascii="Times New Roman" w:hAnsi="Times New Roman"/>
          <w:sz w:val="28"/>
          <w:szCs w:val="28"/>
        </w:rPr>
        <w:t>, kam seko</w:t>
      </w:r>
      <w:r w:rsidR="00061711" w:rsidRPr="00EF7261">
        <w:rPr>
          <w:rStyle w:val="st"/>
          <w:rFonts w:ascii="Times New Roman" w:hAnsi="Times New Roman"/>
          <w:sz w:val="28"/>
          <w:szCs w:val="28"/>
        </w:rPr>
        <w:t xml:space="preserve"> </w:t>
      </w:r>
      <w:r w:rsidR="00230F81">
        <w:rPr>
          <w:rStyle w:val="st"/>
          <w:rFonts w:ascii="Times New Roman" w:hAnsi="Times New Roman"/>
          <w:sz w:val="28"/>
          <w:szCs w:val="28"/>
        </w:rPr>
        <w:t>p</w:t>
      </w:r>
      <w:r w:rsidR="00061711" w:rsidRPr="00EF7261">
        <w:rPr>
          <w:rStyle w:val="st"/>
          <w:rFonts w:ascii="Times New Roman" w:hAnsi="Times New Roman"/>
          <w:sz w:val="28"/>
          <w:szCs w:val="28"/>
        </w:rPr>
        <w:t>ar publiskiem līdzekļiem īstenoto būvniecības ieceru apjoms</w:t>
      </w:r>
      <w:r w:rsidR="00230F81">
        <w:rPr>
          <w:rStyle w:val="st"/>
          <w:rFonts w:ascii="Times New Roman" w:hAnsi="Times New Roman"/>
          <w:sz w:val="28"/>
          <w:szCs w:val="28"/>
        </w:rPr>
        <w:t xml:space="preserve"> ar vērtējumu</w:t>
      </w:r>
      <w:r w:rsidR="00061711" w:rsidRPr="00EF7261">
        <w:rPr>
          <w:rStyle w:val="st"/>
          <w:rFonts w:ascii="Times New Roman" w:hAnsi="Times New Roman"/>
          <w:sz w:val="28"/>
          <w:szCs w:val="28"/>
        </w:rPr>
        <w:t xml:space="preserve"> 7,2</w:t>
      </w:r>
      <w:r w:rsidR="00575CDC" w:rsidRPr="00EF7261">
        <w:rPr>
          <w:rStyle w:val="st"/>
          <w:rFonts w:ascii="Times New Roman" w:hAnsi="Times New Roman"/>
          <w:sz w:val="28"/>
          <w:szCs w:val="28"/>
        </w:rPr>
        <w:t xml:space="preserve">. </w:t>
      </w:r>
      <w:r w:rsidR="00230F81">
        <w:rPr>
          <w:rStyle w:val="st"/>
          <w:rFonts w:ascii="Times New Roman" w:hAnsi="Times New Roman"/>
          <w:sz w:val="28"/>
          <w:szCs w:val="28"/>
        </w:rPr>
        <w:t>B</w:t>
      </w:r>
      <w:r w:rsidR="00575CDC" w:rsidRPr="00EF7261">
        <w:rPr>
          <w:rStyle w:val="st"/>
          <w:rFonts w:ascii="Times New Roman" w:hAnsi="Times New Roman"/>
          <w:sz w:val="28"/>
          <w:szCs w:val="28"/>
        </w:rPr>
        <w:t>ūvmateriālu izmaksu izmaiņ</w:t>
      </w:r>
      <w:r w:rsidR="00061711" w:rsidRPr="00EF7261">
        <w:rPr>
          <w:rStyle w:val="st"/>
          <w:rFonts w:ascii="Times New Roman" w:hAnsi="Times New Roman"/>
          <w:sz w:val="28"/>
          <w:szCs w:val="28"/>
        </w:rPr>
        <w:t>as tik</w:t>
      </w:r>
      <w:r w:rsidR="00B64BBC" w:rsidRPr="00EF7261">
        <w:rPr>
          <w:rStyle w:val="st"/>
          <w:rFonts w:ascii="Times New Roman" w:hAnsi="Times New Roman"/>
          <w:sz w:val="28"/>
          <w:szCs w:val="28"/>
        </w:rPr>
        <w:t>p</w:t>
      </w:r>
      <w:r w:rsidR="00061711" w:rsidRPr="00EF7261">
        <w:rPr>
          <w:rStyle w:val="st"/>
          <w:rFonts w:ascii="Times New Roman" w:hAnsi="Times New Roman"/>
          <w:sz w:val="28"/>
          <w:szCs w:val="28"/>
        </w:rPr>
        <w:t>at līdzvērtīgi varētu ietekmēt arī citi</w:t>
      </w:r>
      <w:r w:rsidR="00575CDC" w:rsidRPr="00EF7261">
        <w:rPr>
          <w:rStyle w:val="st"/>
          <w:rFonts w:ascii="Times New Roman" w:hAnsi="Times New Roman"/>
          <w:sz w:val="28"/>
          <w:szCs w:val="28"/>
        </w:rPr>
        <w:t xml:space="preserve"> </w:t>
      </w:r>
      <w:r w:rsidR="00061711" w:rsidRPr="00EF7261">
        <w:rPr>
          <w:rStyle w:val="st"/>
          <w:rFonts w:ascii="Times New Roman" w:hAnsi="Times New Roman"/>
          <w:sz w:val="28"/>
          <w:szCs w:val="28"/>
        </w:rPr>
        <w:t>faktori, kā</w:t>
      </w:r>
      <w:r w:rsidR="00230F81">
        <w:rPr>
          <w:rStyle w:val="st"/>
          <w:rFonts w:ascii="Times New Roman" w:hAnsi="Times New Roman"/>
          <w:sz w:val="28"/>
          <w:szCs w:val="28"/>
        </w:rPr>
        <w:t xml:space="preserve"> piemēram</w:t>
      </w:r>
      <w:r w:rsidR="00061711" w:rsidRPr="00EF7261">
        <w:rPr>
          <w:rStyle w:val="st"/>
          <w:rFonts w:ascii="Times New Roman" w:hAnsi="Times New Roman"/>
          <w:sz w:val="28"/>
          <w:szCs w:val="28"/>
        </w:rPr>
        <w:t xml:space="preserve"> </w:t>
      </w:r>
      <w:r w:rsidR="00575CDC" w:rsidRPr="00EF7261">
        <w:rPr>
          <w:rStyle w:val="st"/>
          <w:rFonts w:ascii="Times New Roman" w:hAnsi="Times New Roman"/>
          <w:sz w:val="28"/>
          <w:szCs w:val="28"/>
        </w:rPr>
        <w:t>ES kopējais būvniecības tirgus pieprasījums</w:t>
      </w:r>
      <w:r w:rsidR="00061711" w:rsidRPr="00EF7261">
        <w:rPr>
          <w:rStyle w:val="st"/>
          <w:rFonts w:ascii="Times New Roman" w:hAnsi="Times New Roman"/>
          <w:sz w:val="28"/>
          <w:szCs w:val="28"/>
        </w:rPr>
        <w:t xml:space="preserve"> 7,5, konkurences koncentrācijas rādītāji būvmateriālu tirgū 6,8 un nekustamā īpašuma kreditēšanas apjomi valstī 6,8.</w:t>
      </w:r>
      <w:r w:rsidR="008E40C5">
        <w:rPr>
          <w:rStyle w:val="st"/>
          <w:rFonts w:ascii="Times New Roman" w:hAnsi="Times New Roman"/>
          <w:sz w:val="28"/>
          <w:szCs w:val="28"/>
        </w:rPr>
        <w:t xml:space="preserve"> </w:t>
      </w:r>
    </w:p>
    <w:p w14:paraId="100E0548" w14:textId="1B54E712" w:rsidR="0000759A" w:rsidRPr="003815EF" w:rsidRDefault="0000759A" w:rsidP="0000759A">
      <w:pPr>
        <w:ind w:firstLine="851"/>
        <w:jc w:val="both"/>
        <w:rPr>
          <w:rFonts w:ascii="Times New Roman" w:hAnsi="Times New Roman" w:cs="Times New Roman"/>
          <w:sz w:val="28"/>
          <w:szCs w:val="28"/>
        </w:rPr>
      </w:pPr>
      <w:r w:rsidRPr="003815EF">
        <w:rPr>
          <w:rFonts w:ascii="Times New Roman" w:hAnsi="Times New Roman" w:cs="Times New Roman"/>
          <w:sz w:val="28"/>
          <w:szCs w:val="28"/>
        </w:rPr>
        <w:lastRenderedPageBreak/>
        <w:t>Sadalījumā pa resursu veidiem, ēku būvniecības apakšnozares ekspert</w:t>
      </w:r>
      <w:r w:rsidR="00790D2C" w:rsidRPr="003815EF">
        <w:rPr>
          <w:rFonts w:ascii="Times New Roman" w:hAnsi="Times New Roman" w:cs="Times New Roman"/>
          <w:sz w:val="28"/>
          <w:szCs w:val="28"/>
        </w:rPr>
        <w:t>i no</w:t>
      </w:r>
      <w:r w:rsidRPr="003815EF">
        <w:rPr>
          <w:rFonts w:ascii="Times New Roman" w:hAnsi="Times New Roman" w:cs="Times New Roman"/>
          <w:sz w:val="28"/>
          <w:szCs w:val="28"/>
        </w:rPr>
        <w:t xml:space="preserve">rāda, ka būtiskākais faktors, kas ietekmēs </w:t>
      </w:r>
      <w:r w:rsidR="00790D2C" w:rsidRPr="003815EF">
        <w:rPr>
          <w:rFonts w:ascii="Times New Roman" w:hAnsi="Times New Roman" w:cs="Times New Roman"/>
          <w:sz w:val="28"/>
          <w:szCs w:val="28"/>
        </w:rPr>
        <w:t>būvniecības izmaksas</w:t>
      </w:r>
      <w:r w:rsidRPr="003815EF">
        <w:rPr>
          <w:rFonts w:ascii="Times New Roman" w:hAnsi="Times New Roman" w:cs="Times New Roman"/>
          <w:sz w:val="28"/>
          <w:szCs w:val="28"/>
        </w:rPr>
        <w:t xml:space="preserve"> ir būvniecības produkcijas apjoms Latvijā</w:t>
      </w:r>
      <w:r w:rsidR="00790D2C" w:rsidRPr="003815EF">
        <w:rPr>
          <w:rFonts w:ascii="Times New Roman" w:hAnsi="Times New Roman" w:cs="Times New Roman"/>
          <w:sz w:val="28"/>
          <w:szCs w:val="28"/>
        </w:rPr>
        <w:t>, i</w:t>
      </w:r>
      <w:r w:rsidRPr="003815EF">
        <w:rPr>
          <w:rFonts w:ascii="Times New Roman" w:hAnsi="Times New Roman" w:cs="Times New Roman"/>
          <w:sz w:val="28"/>
          <w:szCs w:val="28"/>
        </w:rPr>
        <w:t xml:space="preserve">edzīvotājiem pieejamie resursi un </w:t>
      </w:r>
      <w:r w:rsidR="00790D2C" w:rsidRPr="003815EF">
        <w:rPr>
          <w:rFonts w:ascii="Times New Roman" w:hAnsi="Times New Roman" w:cs="Times New Roman"/>
          <w:sz w:val="28"/>
          <w:szCs w:val="28"/>
        </w:rPr>
        <w:t xml:space="preserve">nekustamā īpašuma kreditēšanas apjomi.  </w:t>
      </w:r>
    </w:p>
    <w:p w14:paraId="1061BF7A" w14:textId="3CBEE869" w:rsidR="00790D2C" w:rsidRDefault="00790D2C" w:rsidP="00790D2C">
      <w:pPr>
        <w:ind w:firstLine="851"/>
        <w:jc w:val="both"/>
        <w:rPr>
          <w:rFonts w:ascii="Times New Roman" w:hAnsi="Times New Roman" w:cs="Times New Roman"/>
          <w:color w:val="000000"/>
          <w:sz w:val="28"/>
          <w:szCs w:val="28"/>
        </w:rPr>
      </w:pPr>
      <w:r w:rsidRPr="003815EF">
        <w:rPr>
          <w:rFonts w:ascii="Times New Roman" w:hAnsi="Times New Roman" w:cs="Times New Roman"/>
          <w:sz w:val="28"/>
          <w:szCs w:val="28"/>
        </w:rPr>
        <w:t xml:space="preserve">Transportbūvju būvniecības nozarē ekspertu izmaksu izmaiņu prognožu vērtējums pa resursu veidiem atšķiras no kopējās būvniecības izmaksu izmaiņu prognozes. </w:t>
      </w:r>
      <w:r w:rsidR="003815EF" w:rsidRPr="003815EF">
        <w:rPr>
          <w:rFonts w:ascii="Times New Roman" w:hAnsi="Times New Roman" w:cs="Times New Roman"/>
          <w:bCs/>
          <w:sz w:val="28"/>
          <w:szCs w:val="28"/>
        </w:rPr>
        <w:t>Faktori, kas ietekmē darbaspēka un būvmateriālu izmaksu izmaiņas, tiek norādīts: n</w:t>
      </w:r>
      <w:r w:rsidR="003815EF" w:rsidRPr="003815EF">
        <w:rPr>
          <w:rFonts w:ascii="Times New Roman" w:hAnsi="Times New Roman" w:cs="Times New Roman"/>
          <w:color w:val="000000"/>
          <w:sz w:val="28"/>
          <w:szCs w:val="28"/>
        </w:rPr>
        <w:t xml:space="preserve">eprognozējams finansējuma apjoms ilgtermiņā un vidējā termiņā (gan valsts autoceļu tīklā, gan pašvaldībās; nevienmērīga ES līdzekļu piesaiste/plānošana/izmantošana būvniecības nozarē plānošanas perioda ietvaros; </w:t>
      </w:r>
      <w:r w:rsidR="003815EF" w:rsidRPr="003815EF">
        <w:rPr>
          <w:rFonts w:ascii="Times New Roman" w:hAnsi="Times New Roman" w:cs="Times New Roman"/>
          <w:i/>
          <w:color w:val="000000"/>
          <w:sz w:val="28"/>
          <w:szCs w:val="28"/>
        </w:rPr>
        <w:t>Rail Baltica</w:t>
      </w:r>
      <w:r w:rsidR="003815EF" w:rsidRPr="003815EF">
        <w:rPr>
          <w:rFonts w:ascii="Times New Roman" w:hAnsi="Times New Roman" w:cs="Times New Roman"/>
          <w:color w:val="000000"/>
          <w:sz w:val="28"/>
          <w:szCs w:val="28"/>
        </w:rPr>
        <w:t xml:space="preserve"> projekta virzība; vidējā degvielas cena valstī un pasaules naftas produktu cenu izmaiņas.</w:t>
      </w:r>
    </w:p>
    <w:p w14:paraId="02A5F597" w14:textId="46F26457" w:rsidR="003815EF" w:rsidRPr="007C42A6" w:rsidRDefault="003815EF" w:rsidP="00826677">
      <w:pPr>
        <w:spacing w:after="0"/>
        <w:ind w:firstLine="851"/>
        <w:jc w:val="both"/>
        <w:rPr>
          <w:rFonts w:ascii="Times New Roman" w:hAnsi="Times New Roman" w:cs="Times New Roman"/>
          <w:color w:val="000000"/>
          <w:sz w:val="28"/>
          <w:szCs w:val="28"/>
        </w:rPr>
      </w:pPr>
      <w:r w:rsidRPr="007C42A6">
        <w:rPr>
          <w:rFonts w:ascii="Times New Roman" w:hAnsi="Times New Roman" w:cs="Times New Roman"/>
          <w:color w:val="000000"/>
          <w:sz w:val="28"/>
          <w:szCs w:val="28"/>
        </w:rPr>
        <w:t xml:space="preserve">Infrastruktūras objektu būvniecībā </w:t>
      </w:r>
      <w:r w:rsidRPr="007C42A6">
        <w:rPr>
          <w:rFonts w:ascii="Times New Roman" w:hAnsi="Times New Roman" w:cs="Times New Roman"/>
          <w:sz w:val="28"/>
          <w:szCs w:val="28"/>
        </w:rPr>
        <w:t xml:space="preserve">darbaspēka izmaksu un būvmateriālu izmaksu izmaiņas ietekmējošie faktori minēti: </w:t>
      </w:r>
      <w:r w:rsidRPr="007C42A6">
        <w:rPr>
          <w:rFonts w:ascii="Times New Roman" w:hAnsi="Times New Roman" w:cs="Times New Roman"/>
          <w:color w:val="000000"/>
          <w:sz w:val="28"/>
          <w:szCs w:val="28"/>
        </w:rPr>
        <w:t>darbaspēka trūkums; Par publiskiem līdzekļiem īstenoto būvniecības ieceru apjoms</w:t>
      </w:r>
      <w:r w:rsidRPr="007C42A6">
        <w:rPr>
          <w:rFonts w:ascii="Times New Roman" w:hAnsi="Times New Roman" w:cs="Times New Roman"/>
          <w:sz w:val="28"/>
          <w:szCs w:val="28"/>
        </w:rPr>
        <w:t xml:space="preserve"> un </w:t>
      </w:r>
      <w:r w:rsidR="007C42A6" w:rsidRPr="007C42A6">
        <w:rPr>
          <w:rFonts w:ascii="Times New Roman" w:hAnsi="Times New Roman" w:cs="Times New Roman"/>
          <w:color w:val="000000"/>
          <w:sz w:val="28"/>
          <w:szCs w:val="28"/>
        </w:rPr>
        <w:t>b</w:t>
      </w:r>
      <w:r w:rsidRPr="007C42A6">
        <w:rPr>
          <w:rFonts w:ascii="Times New Roman" w:hAnsi="Times New Roman" w:cs="Times New Roman"/>
          <w:color w:val="000000"/>
          <w:sz w:val="28"/>
          <w:szCs w:val="28"/>
        </w:rPr>
        <w:t>ūvniecības produkcijas apjoms</w:t>
      </w:r>
      <w:r w:rsidR="007C42A6" w:rsidRPr="007C42A6">
        <w:rPr>
          <w:rFonts w:ascii="Times New Roman" w:hAnsi="Times New Roman" w:cs="Times New Roman"/>
          <w:color w:val="000000"/>
          <w:sz w:val="28"/>
          <w:szCs w:val="28"/>
        </w:rPr>
        <w:t>, kā arī Vidējā degvielas cena valstī, naftas produktu cenu kāpums un elektroenerģijas cena valstī</w:t>
      </w:r>
    </w:p>
    <w:p w14:paraId="21422237" w14:textId="31AAE7F5" w:rsidR="00454CAF" w:rsidRDefault="00454CAF" w:rsidP="00826677">
      <w:pPr>
        <w:spacing w:after="0" w:line="276" w:lineRule="auto"/>
        <w:ind w:firstLine="851"/>
        <w:jc w:val="both"/>
        <w:rPr>
          <w:rFonts w:ascii="Times New Roman" w:eastAsia="Calibri" w:hAnsi="Times New Roman" w:cs="Times New Roman"/>
          <w:sz w:val="28"/>
          <w:szCs w:val="28"/>
        </w:rPr>
      </w:pPr>
      <w:r w:rsidRPr="00590D40">
        <w:rPr>
          <w:rFonts w:ascii="Times New Roman" w:eastAsia="Calibri" w:hAnsi="Times New Roman" w:cs="Times New Roman"/>
          <w:sz w:val="28"/>
          <w:szCs w:val="28"/>
        </w:rPr>
        <w:t xml:space="preserve">Salīdzinot </w:t>
      </w:r>
      <w:r w:rsidR="00590D40" w:rsidRPr="00590D40">
        <w:rPr>
          <w:rFonts w:ascii="Times New Roman" w:eastAsia="Calibri" w:hAnsi="Times New Roman" w:cs="Times New Roman"/>
          <w:sz w:val="28"/>
          <w:szCs w:val="28"/>
        </w:rPr>
        <w:t xml:space="preserve">2018. un 2019.gada </w:t>
      </w:r>
      <w:r w:rsidRPr="00590D40">
        <w:rPr>
          <w:rFonts w:ascii="Times New Roman" w:eastAsia="Calibri" w:hAnsi="Times New Roman" w:cs="Times New Roman"/>
          <w:sz w:val="28"/>
          <w:szCs w:val="28"/>
        </w:rPr>
        <w:t>pētījumu prognozes par izmaiņām būvniecības izmaksās dalījum</w:t>
      </w:r>
      <w:r w:rsidR="00590D40" w:rsidRPr="00590D40">
        <w:rPr>
          <w:rFonts w:ascii="Times New Roman" w:eastAsia="Calibri" w:hAnsi="Times New Roman" w:cs="Times New Roman"/>
          <w:sz w:val="28"/>
          <w:szCs w:val="28"/>
        </w:rPr>
        <w:t>ā</w:t>
      </w:r>
      <w:r w:rsidRPr="00590D40">
        <w:rPr>
          <w:rFonts w:ascii="Times New Roman" w:eastAsia="Calibri" w:hAnsi="Times New Roman" w:cs="Times New Roman"/>
          <w:sz w:val="28"/>
          <w:szCs w:val="28"/>
        </w:rPr>
        <w:t xml:space="preserve"> pa resursu veidiem, secināms, ka abu pētījumu prognozes norāda uz līdzīgu tendenci – izmaksu izmaiņu pieauguma samazinājum</w:t>
      </w:r>
      <w:r w:rsidR="00590D40" w:rsidRPr="00590D40">
        <w:rPr>
          <w:rFonts w:ascii="Times New Roman" w:eastAsia="Calibri" w:hAnsi="Times New Roman" w:cs="Times New Roman"/>
          <w:sz w:val="28"/>
          <w:szCs w:val="28"/>
        </w:rPr>
        <w:t>u</w:t>
      </w:r>
      <w:r w:rsidRPr="00590D40">
        <w:rPr>
          <w:rFonts w:ascii="Times New Roman" w:eastAsia="Calibri" w:hAnsi="Times New Roman" w:cs="Times New Roman"/>
          <w:sz w:val="28"/>
          <w:szCs w:val="28"/>
        </w:rPr>
        <w:t xml:space="preserve"> pēc 2020.gada. </w:t>
      </w:r>
    </w:p>
    <w:p w14:paraId="04916DFC" w14:textId="77777777" w:rsidR="00826677" w:rsidRPr="00DE389A" w:rsidRDefault="00826677" w:rsidP="00826677">
      <w:pPr>
        <w:spacing w:after="0" w:line="276" w:lineRule="auto"/>
        <w:ind w:firstLine="851"/>
        <w:jc w:val="both"/>
        <w:rPr>
          <w:rFonts w:ascii="Times New Roman" w:eastAsia="Calibri" w:hAnsi="Times New Roman" w:cs="Times New Roman"/>
          <w:sz w:val="28"/>
          <w:szCs w:val="28"/>
        </w:rPr>
      </w:pPr>
    </w:p>
    <w:p w14:paraId="6AB6E416" w14:textId="21E7E249" w:rsidR="00484B85" w:rsidRDefault="00590D40" w:rsidP="00826677">
      <w:pPr>
        <w:pStyle w:val="Heading2"/>
        <w:spacing w:before="0" w:after="0"/>
        <w:rPr>
          <w:rFonts w:ascii="Times New Roman" w:hAnsi="Times New Roman" w:cs="Times New Roman"/>
          <w:b/>
          <w:sz w:val="28"/>
          <w:szCs w:val="28"/>
        </w:rPr>
      </w:pPr>
      <w:bookmarkStart w:id="23" w:name="_Toc15480939"/>
      <w:r>
        <w:rPr>
          <w:rStyle w:val="st"/>
          <w:rFonts w:ascii="Times New Roman" w:hAnsi="Times New Roman" w:cs="Times New Roman"/>
          <w:b/>
          <w:sz w:val="28"/>
          <w:szCs w:val="28"/>
        </w:rPr>
        <w:t>2.2.4.</w:t>
      </w:r>
      <w:r w:rsidR="00BA48C2" w:rsidRPr="00DE389A">
        <w:rPr>
          <w:rStyle w:val="st"/>
          <w:rFonts w:ascii="Times New Roman" w:hAnsi="Times New Roman" w:cs="Times New Roman"/>
          <w:b/>
          <w:sz w:val="28"/>
          <w:szCs w:val="28"/>
        </w:rPr>
        <w:t xml:space="preserve"> </w:t>
      </w:r>
      <w:r w:rsidR="00CE01FD" w:rsidRPr="00DE389A">
        <w:rPr>
          <w:rStyle w:val="st"/>
          <w:rFonts w:ascii="Times New Roman" w:hAnsi="Times New Roman" w:cs="Times New Roman"/>
          <w:b/>
          <w:sz w:val="28"/>
          <w:szCs w:val="28"/>
        </w:rPr>
        <w:t>P</w:t>
      </w:r>
      <w:r w:rsidR="00AC525D" w:rsidRPr="00DE389A">
        <w:rPr>
          <w:rFonts w:ascii="Times New Roman" w:hAnsi="Times New Roman" w:cs="Times New Roman"/>
          <w:b/>
          <w:sz w:val="28"/>
          <w:szCs w:val="28"/>
        </w:rPr>
        <w:t>eļņas norm</w:t>
      </w:r>
      <w:r w:rsidR="00CE01FD" w:rsidRPr="00DE389A">
        <w:rPr>
          <w:rFonts w:ascii="Times New Roman" w:hAnsi="Times New Roman" w:cs="Times New Roman"/>
          <w:b/>
          <w:sz w:val="28"/>
          <w:szCs w:val="28"/>
        </w:rPr>
        <w:t>a</w:t>
      </w:r>
      <w:bookmarkEnd w:id="23"/>
    </w:p>
    <w:p w14:paraId="57E0C3C3" w14:textId="77777777" w:rsidR="00826677" w:rsidRPr="00826677" w:rsidRDefault="00826677" w:rsidP="00826677">
      <w:pPr>
        <w:spacing w:after="0"/>
      </w:pPr>
    </w:p>
    <w:p w14:paraId="473D39FA" w14:textId="71F7F3A6" w:rsidR="00305886" w:rsidRPr="00DE389A" w:rsidRDefault="00305886" w:rsidP="00826677">
      <w:pPr>
        <w:spacing w:before="240"/>
        <w:ind w:firstLine="851"/>
        <w:jc w:val="both"/>
        <w:rPr>
          <w:rFonts w:ascii="Times New Roman" w:hAnsi="Times New Roman" w:cs="Times New Roman"/>
          <w:sz w:val="28"/>
          <w:szCs w:val="28"/>
        </w:rPr>
      </w:pPr>
      <w:r w:rsidRPr="00DE389A">
        <w:rPr>
          <w:rFonts w:ascii="Times New Roman" w:hAnsi="Times New Roman" w:cs="Times New Roman"/>
          <w:sz w:val="28"/>
          <w:szCs w:val="28"/>
        </w:rPr>
        <w:t>Latvijas biznesa vidē novērota hipotēze, ka būvniecības produkcijas apjomam pieaugot straujāk, būvnieki ceļ cenas ar nepamatoti augstu peļņas daļu. Lai šo tirgus efektu pārbaudītu, pētījumā tika ietverta peļņas normas</w:t>
      </w:r>
      <w:r w:rsidR="006B44C7">
        <w:rPr>
          <w:rFonts w:ascii="Times New Roman" w:hAnsi="Times New Roman" w:cs="Times New Roman"/>
          <w:sz w:val="28"/>
          <w:szCs w:val="28"/>
        </w:rPr>
        <w:t xml:space="preserve"> </w:t>
      </w:r>
      <w:r w:rsidR="006B44C7" w:rsidRPr="006B44C7">
        <w:rPr>
          <w:rFonts w:ascii="Times New Roman" w:hAnsi="Times New Roman" w:cs="Times New Roman"/>
          <w:sz w:val="28"/>
          <w:szCs w:val="28"/>
        </w:rPr>
        <w:t>(peļņas pēc nodokļiem procentuālais īpatsvars no apgrozījuma</w:t>
      </w:r>
      <w:r w:rsidR="006B44C7">
        <w:rPr>
          <w:rFonts w:ascii="Times New Roman" w:hAnsi="Times New Roman" w:cs="Times New Roman"/>
          <w:sz w:val="28"/>
          <w:szCs w:val="28"/>
        </w:rPr>
        <w:t>)</w:t>
      </w:r>
      <w:r w:rsidRPr="00DE389A">
        <w:rPr>
          <w:rFonts w:ascii="Times New Roman" w:hAnsi="Times New Roman" w:cs="Times New Roman"/>
          <w:sz w:val="28"/>
          <w:szCs w:val="28"/>
        </w:rPr>
        <w:t xml:space="preserve"> analīze pēc analoģiskas pieejas kā apjomam – izmaksu elastības analīze: ar ekspertu novērtējumiem un statistiskajiem datiem. </w:t>
      </w:r>
    </w:p>
    <w:p w14:paraId="23E29480" w14:textId="472BB978" w:rsidR="00826677" w:rsidRPr="00DE389A" w:rsidRDefault="00305886" w:rsidP="00826677">
      <w:pPr>
        <w:spacing w:after="0"/>
        <w:ind w:firstLine="851"/>
        <w:jc w:val="both"/>
        <w:rPr>
          <w:rFonts w:ascii="Times New Roman" w:hAnsi="Times New Roman" w:cs="Times New Roman"/>
          <w:b/>
          <w:bCs/>
          <w:sz w:val="28"/>
          <w:szCs w:val="28"/>
        </w:rPr>
      </w:pPr>
      <w:r w:rsidRPr="00DE389A">
        <w:rPr>
          <w:rFonts w:ascii="Times New Roman" w:hAnsi="Times New Roman" w:cs="Times New Roman"/>
          <w:sz w:val="28"/>
          <w:szCs w:val="28"/>
        </w:rPr>
        <w:t xml:space="preserve">Ekspertu vērtējums uzrāda, ka būvniecības produkcijas apjomam samazinoties, pieņemamā peļņas norma būtu 1% </w:t>
      </w:r>
      <w:r w:rsidR="00DE389A">
        <w:rPr>
          <w:rFonts w:ascii="Times New Roman" w:hAnsi="Times New Roman" w:cs="Times New Roman"/>
          <w:sz w:val="28"/>
          <w:szCs w:val="28"/>
        </w:rPr>
        <w:t>līdz</w:t>
      </w:r>
      <w:r w:rsidRPr="00DE389A">
        <w:rPr>
          <w:rFonts w:ascii="Times New Roman" w:hAnsi="Times New Roman" w:cs="Times New Roman"/>
          <w:sz w:val="28"/>
          <w:szCs w:val="28"/>
        </w:rPr>
        <w:t xml:space="preserve"> 2% robežās, savukārt, apjomam pieaugot, tā nepārsniedz 10% pat virs 20% apjoma pieauguma. </w:t>
      </w:r>
      <w:r w:rsidRPr="00DE389A">
        <w:rPr>
          <w:rFonts w:ascii="Times New Roman" w:hAnsi="Times New Roman" w:cs="Times New Roman"/>
          <w:sz w:val="28"/>
          <w:szCs w:val="28"/>
        </w:rPr>
        <w:lastRenderedPageBreak/>
        <w:t>Salīdzinot ekspertu vērtējumus ar statistisko datu analīzi</w:t>
      </w:r>
      <w:r w:rsidR="00EB6E96" w:rsidRPr="00DE389A">
        <w:rPr>
          <w:rFonts w:ascii="Times New Roman" w:hAnsi="Times New Roman" w:cs="Times New Roman"/>
          <w:sz w:val="28"/>
          <w:szCs w:val="28"/>
        </w:rPr>
        <w:t xml:space="preserve">, CSP apkopotie dati uzrāda </w:t>
      </w:r>
      <w:r w:rsidRPr="00DE389A">
        <w:rPr>
          <w:rFonts w:ascii="Times New Roman" w:hAnsi="Times New Roman" w:cs="Times New Roman"/>
          <w:sz w:val="28"/>
          <w:szCs w:val="28"/>
        </w:rPr>
        <w:t>zemāku pieņemamo peļņas normu nekā ekspertu vērtējumi</w:t>
      </w:r>
      <w:r w:rsidR="00220277">
        <w:rPr>
          <w:rFonts w:ascii="Times New Roman" w:hAnsi="Times New Roman" w:cs="Times New Roman"/>
          <w:sz w:val="28"/>
          <w:szCs w:val="28"/>
        </w:rPr>
        <w:t>.</w:t>
      </w:r>
    </w:p>
    <w:p w14:paraId="514B51DA" w14:textId="4576DC6A" w:rsidR="006B44C7" w:rsidRPr="00590D40" w:rsidRDefault="006B44C7" w:rsidP="00220277">
      <w:pPr>
        <w:ind w:right="-143"/>
        <w:rPr>
          <w:rFonts w:ascii="Times New Roman" w:hAnsi="Times New Roman" w:cs="Times New Roman"/>
          <w:b/>
          <w:bCs/>
          <w:sz w:val="24"/>
          <w:szCs w:val="24"/>
        </w:rPr>
      </w:pPr>
      <w:r w:rsidRPr="00590D40">
        <w:rPr>
          <w:rFonts w:ascii="Times New Roman" w:hAnsi="Times New Roman" w:cs="Times New Roman"/>
          <w:b/>
          <w:bCs/>
          <w:sz w:val="24"/>
          <w:szCs w:val="24"/>
        </w:rPr>
        <w:t>Nozares ekspertu vērtējumā pieņemamā peļņas norma atkarībā no apjoma izmaiņām, %</w:t>
      </w:r>
    </w:p>
    <w:tbl>
      <w:tblPr>
        <w:tblStyle w:val="PlainTable1"/>
        <w:tblW w:w="8964" w:type="dxa"/>
        <w:jc w:val="center"/>
        <w:tblLook w:val="04A0" w:firstRow="1" w:lastRow="0" w:firstColumn="1" w:lastColumn="0" w:noHBand="0" w:noVBand="1"/>
      </w:tblPr>
      <w:tblGrid>
        <w:gridCol w:w="2828"/>
        <w:gridCol w:w="1158"/>
        <w:gridCol w:w="1158"/>
        <w:gridCol w:w="1244"/>
        <w:gridCol w:w="1244"/>
        <w:gridCol w:w="1332"/>
      </w:tblGrid>
      <w:tr w:rsidR="006B44C7" w:rsidRPr="006B44C7" w14:paraId="16C1FA82" w14:textId="77777777" w:rsidTr="00FD453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28" w:type="dxa"/>
            <w:shd w:val="clear" w:color="auto" w:fill="1F3864"/>
            <w:vAlign w:val="center"/>
          </w:tcPr>
          <w:p w14:paraId="51900152" w14:textId="77777777" w:rsidR="006B44C7" w:rsidRPr="006B44C7" w:rsidRDefault="006B44C7" w:rsidP="00FD4539">
            <w:pPr>
              <w:spacing w:before="0" w:after="0"/>
              <w:jc w:val="center"/>
              <w:rPr>
                <w:rFonts w:ascii="Times New Roman" w:eastAsia="Times New Roman" w:hAnsi="Times New Roman" w:cs="Times New Roman"/>
                <w:b w:val="0"/>
                <w:bCs w:val="0"/>
                <w:color w:val="FFFFFF" w:themeColor="background1"/>
                <w:sz w:val="24"/>
                <w:szCs w:val="24"/>
                <w:lang w:eastAsia="en-GB"/>
              </w:rPr>
            </w:pPr>
            <w:r w:rsidRPr="006B44C7">
              <w:rPr>
                <w:rFonts w:ascii="Times New Roman" w:hAnsi="Times New Roman" w:cs="Times New Roman"/>
                <w:color w:val="FFFFFF" w:themeColor="background1"/>
                <w:sz w:val="24"/>
                <w:szCs w:val="24"/>
              </w:rPr>
              <w:t>Apjoma izmaiņu līmenis</w:t>
            </w:r>
          </w:p>
        </w:tc>
        <w:tc>
          <w:tcPr>
            <w:tcW w:w="1158" w:type="dxa"/>
            <w:shd w:val="clear" w:color="auto" w:fill="1F3864"/>
            <w:vAlign w:val="center"/>
          </w:tcPr>
          <w:p w14:paraId="1C8F7A90" w14:textId="77777777" w:rsidR="006B44C7" w:rsidRPr="006B44C7" w:rsidRDefault="006B44C7" w:rsidP="00FD4539">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lang w:eastAsia="en-GB"/>
              </w:rPr>
            </w:pPr>
            <w:r w:rsidRPr="006B44C7">
              <w:rPr>
                <w:rFonts w:ascii="Times New Roman" w:hAnsi="Times New Roman" w:cs="Times New Roman"/>
                <w:color w:val="FFFFFF" w:themeColor="background1"/>
                <w:sz w:val="24"/>
                <w:szCs w:val="24"/>
              </w:rPr>
              <w:t>-20% līdz -10%</w:t>
            </w:r>
          </w:p>
        </w:tc>
        <w:tc>
          <w:tcPr>
            <w:tcW w:w="1158" w:type="dxa"/>
            <w:shd w:val="clear" w:color="auto" w:fill="1F3864"/>
            <w:vAlign w:val="center"/>
          </w:tcPr>
          <w:p w14:paraId="475D9CA3" w14:textId="77777777" w:rsidR="006B44C7" w:rsidRPr="006B44C7" w:rsidRDefault="006B44C7" w:rsidP="00FD4539">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lang w:eastAsia="en-GB"/>
              </w:rPr>
            </w:pPr>
            <w:r w:rsidRPr="006B44C7">
              <w:rPr>
                <w:rFonts w:ascii="Times New Roman" w:hAnsi="Times New Roman" w:cs="Times New Roman"/>
                <w:color w:val="FFFFFF" w:themeColor="background1"/>
                <w:sz w:val="24"/>
                <w:szCs w:val="24"/>
              </w:rPr>
              <w:t>-10% līdz 0%</w:t>
            </w:r>
          </w:p>
        </w:tc>
        <w:tc>
          <w:tcPr>
            <w:tcW w:w="1244" w:type="dxa"/>
            <w:shd w:val="clear" w:color="auto" w:fill="1F3864"/>
            <w:vAlign w:val="center"/>
          </w:tcPr>
          <w:p w14:paraId="6D4EE723" w14:textId="77777777" w:rsidR="006B44C7" w:rsidRPr="006B44C7" w:rsidRDefault="006B44C7" w:rsidP="00FD4539">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lang w:eastAsia="en-GB"/>
              </w:rPr>
            </w:pPr>
            <w:r w:rsidRPr="006B44C7">
              <w:rPr>
                <w:rFonts w:ascii="Times New Roman" w:hAnsi="Times New Roman" w:cs="Times New Roman"/>
                <w:color w:val="FFFFFF" w:themeColor="background1"/>
                <w:sz w:val="24"/>
                <w:szCs w:val="24"/>
              </w:rPr>
              <w:t>0% līdz +10%</w:t>
            </w:r>
          </w:p>
        </w:tc>
        <w:tc>
          <w:tcPr>
            <w:tcW w:w="1244" w:type="dxa"/>
            <w:shd w:val="clear" w:color="auto" w:fill="1F3864"/>
            <w:vAlign w:val="center"/>
          </w:tcPr>
          <w:p w14:paraId="07062653" w14:textId="77777777" w:rsidR="006B44C7" w:rsidRPr="006B44C7" w:rsidRDefault="006B44C7" w:rsidP="00FD4539">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lang w:eastAsia="en-GB"/>
              </w:rPr>
            </w:pPr>
            <w:r w:rsidRPr="006B44C7">
              <w:rPr>
                <w:rFonts w:ascii="Times New Roman" w:hAnsi="Times New Roman" w:cs="Times New Roman"/>
                <w:color w:val="FFFFFF" w:themeColor="background1"/>
                <w:sz w:val="24"/>
                <w:szCs w:val="24"/>
              </w:rPr>
              <w:t>+10% līdz +20%</w:t>
            </w:r>
          </w:p>
        </w:tc>
        <w:tc>
          <w:tcPr>
            <w:tcW w:w="1332" w:type="dxa"/>
            <w:shd w:val="clear" w:color="auto" w:fill="1F3864"/>
            <w:vAlign w:val="center"/>
          </w:tcPr>
          <w:p w14:paraId="11F8F454" w14:textId="77777777" w:rsidR="006B44C7" w:rsidRPr="006B44C7" w:rsidRDefault="006B44C7" w:rsidP="00FD4539">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lang w:eastAsia="en-GB"/>
              </w:rPr>
            </w:pPr>
            <w:r w:rsidRPr="006B44C7">
              <w:rPr>
                <w:rFonts w:ascii="Times New Roman" w:hAnsi="Times New Roman" w:cs="Times New Roman"/>
                <w:color w:val="FFFFFF" w:themeColor="background1"/>
                <w:sz w:val="24"/>
                <w:szCs w:val="24"/>
              </w:rPr>
              <w:t>+20% līdz +30%</w:t>
            </w:r>
          </w:p>
        </w:tc>
      </w:tr>
      <w:tr w:rsidR="006B44C7" w:rsidRPr="006B44C7" w14:paraId="363D1F83" w14:textId="77777777" w:rsidTr="00FD453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28" w:type="dxa"/>
            <w:vAlign w:val="center"/>
          </w:tcPr>
          <w:p w14:paraId="2AB40559" w14:textId="77777777" w:rsidR="006B44C7" w:rsidRPr="006B44C7" w:rsidRDefault="006B44C7" w:rsidP="00FD4539">
            <w:pPr>
              <w:spacing w:before="0" w:after="0"/>
              <w:rPr>
                <w:rFonts w:ascii="Times New Roman" w:eastAsia="Times New Roman" w:hAnsi="Times New Roman" w:cs="Times New Roman"/>
                <w:b w:val="0"/>
                <w:bCs w:val="0"/>
                <w:color w:val="000000"/>
                <w:sz w:val="24"/>
                <w:szCs w:val="24"/>
                <w:lang w:eastAsia="en-GB"/>
              </w:rPr>
            </w:pPr>
            <w:r w:rsidRPr="006B44C7">
              <w:rPr>
                <w:rFonts w:ascii="Times New Roman" w:hAnsi="Times New Roman" w:cs="Times New Roman"/>
                <w:color w:val="000000"/>
                <w:sz w:val="24"/>
                <w:szCs w:val="24"/>
              </w:rPr>
              <w:t>Vidējais vērtējums</w:t>
            </w:r>
          </w:p>
        </w:tc>
        <w:tc>
          <w:tcPr>
            <w:tcW w:w="1158" w:type="dxa"/>
            <w:noWrap/>
            <w:vAlign w:val="center"/>
          </w:tcPr>
          <w:p w14:paraId="573E030B" w14:textId="77777777" w:rsidR="006B44C7" w:rsidRPr="006B44C7" w:rsidRDefault="006B44C7" w:rsidP="00FD4539">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n-GB"/>
              </w:rPr>
            </w:pPr>
            <w:r w:rsidRPr="006B44C7">
              <w:rPr>
                <w:rFonts w:ascii="Times New Roman" w:hAnsi="Times New Roman" w:cs="Times New Roman"/>
                <w:b/>
                <w:bCs/>
                <w:sz w:val="24"/>
                <w:szCs w:val="24"/>
              </w:rPr>
              <w:t>0,9%</w:t>
            </w:r>
          </w:p>
        </w:tc>
        <w:tc>
          <w:tcPr>
            <w:tcW w:w="1158" w:type="dxa"/>
            <w:vAlign w:val="center"/>
          </w:tcPr>
          <w:p w14:paraId="0107A36D" w14:textId="77777777" w:rsidR="006B44C7" w:rsidRPr="006B44C7" w:rsidRDefault="006B44C7" w:rsidP="00FD4539">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n-GB"/>
              </w:rPr>
            </w:pPr>
            <w:r w:rsidRPr="006B44C7">
              <w:rPr>
                <w:rFonts w:ascii="Times New Roman" w:hAnsi="Times New Roman" w:cs="Times New Roman"/>
                <w:b/>
                <w:bCs/>
                <w:sz w:val="24"/>
                <w:szCs w:val="24"/>
              </w:rPr>
              <w:t>2,1%</w:t>
            </w:r>
          </w:p>
        </w:tc>
        <w:tc>
          <w:tcPr>
            <w:tcW w:w="1244" w:type="dxa"/>
            <w:noWrap/>
            <w:vAlign w:val="center"/>
          </w:tcPr>
          <w:p w14:paraId="1D154BB1" w14:textId="77777777" w:rsidR="006B44C7" w:rsidRPr="006B44C7" w:rsidRDefault="006B44C7" w:rsidP="00FD4539">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n-GB"/>
              </w:rPr>
            </w:pPr>
            <w:r w:rsidRPr="006B44C7">
              <w:rPr>
                <w:rFonts w:ascii="Times New Roman" w:hAnsi="Times New Roman" w:cs="Times New Roman"/>
                <w:b/>
                <w:bCs/>
                <w:sz w:val="24"/>
                <w:szCs w:val="24"/>
              </w:rPr>
              <w:t>4,6%</w:t>
            </w:r>
          </w:p>
        </w:tc>
        <w:tc>
          <w:tcPr>
            <w:tcW w:w="1244" w:type="dxa"/>
            <w:noWrap/>
            <w:vAlign w:val="center"/>
          </w:tcPr>
          <w:p w14:paraId="55057687" w14:textId="77777777" w:rsidR="006B44C7" w:rsidRPr="006B44C7" w:rsidRDefault="006B44C7" w:rsidP="00FD4539">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n-GB"/>
              </w:rPr>
            </w:pPr>
            <w:r w:rsidRPr="006B44C7">
              <w:rPr>
                <w:rFonts w:ascii="Times New Roman" w:hAnsi="Times New Roman" w:cs="Times New Roman"/>
                <w:b/>
                <w:bCs/>
                <w:sz w:val="24"/>
                <w:szCs w:val="24"/>
              </w:rPr>
              <w:t>6,1%</w:t>
            </w:r>
          </w:p>
        </w:tc>
        <w:tc>
          <w:tcPr>
            <w:tcW w:w="1332" w:type="dxa"/>
            <w:noWrap/>
            <w:vAlign w:val="center"/>
          </w:tcPr>
          <w:p w14:paraId="4DA10B58" w14:textId="77777777" w:rsidR="006B44C7" w:rsidRPr="006B44C7" w:rsidRDefault="006B44C7" w:rsidP="00FD4539">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n-GB"/>
              </w:rPr>
            </w:pPr>
            <w:r w:rsidRPr="006B44C7">
              <w:rPr>
                <w:rFonts w:ascii="Times New Roman" w:hAnsi="Times New Roman" w:cs="Times New Roman"/>
                <w:b/>
                <w:bCs/>
                <w:sz w:val="24"/>
                <w:szCs w:val="24"/>
              </w:rPr>
              <w:t>8,5%</w:t>
            </w:r>
          </w:p>
        </w:tc>
      </w:tr>
      <w:tr w:rsidR="006B44C7" w:rsidRPr="006B44C7" w14:paraId="654446DE" w14:textId="77777777" w:rsidTr="00FD4539">
        <w:trPr>
          <w:trHeight w:val="20"/>
          <w:jc w:val="center"/>
        </w:trPr>
        <w:tc>
          <w:tcPr>
            <w:cnfStyle w:val="001000000000" w:firstRow="0" w:lastRow="0" w:firstColumn="1" w:lastColumn="0" w:oddVBand="0" w:evenVBand="0" w:oddHBand="0" w:evenHBand="0" w:firstRowFirstColumn="0" w:firstRowLastColumn="0" w:lastRowFirstColumn="0" w:lastRowLastColumn="0"/>
            <w:tcW w:w="2828" w:type="dxa"/>
            <w:vAlign w:val="center"/>
          </w:tcPr>
          <w:p w14:paraId="61EEB7AF" w14:textId="77777777" w:rsidR="006B44C7" w:rsidRPr="006B44C7" w:rsidRDefault="006B44C7" w:rsidP="00FD4539">
            <w:pPr>
              <w:spacing w:before="0" w:after="0"/>
              <w:rPr>
                <w:rFonts w:ascii="Times New Roman" w:hAnsi="Times New Roman" w:cs="Times New Roman"/>
                <w:b w:val="0"/>
                <w:bCs w:val="0"/>
                <w:sz w:val="24"/>
                <w:szCs w:val="24"/>
              </w:rPr>
            </w:pPr>
            <w:r w:rsidRPr="006B44C7">
              <w:rPr>
                <w:rFonts w:ascii="Times New Roman" w:hAnsi="Times New Roman" w:cs="Times New Roman"/>
                <w:color w:val="000000"/>
                <w:sz w:val="24"/>
                <w:szCs w:val="24"/>
              </w:rPr>
              <w:t>Standartnovirze</w:t>
            </w:r>
          </w:p>
        </w:tc>
        <w:tc>
          <w:tcPr>
            <w:tcW w:w="1158" w:type="dxa"/>
            <w:noWrap/>
            <w:vAlign w:val="center"/>
          </w:tcPr>
          <w:p w14:paraId="1E099F46" w14:textId="77777777" w:rsidR="006B44C7" w:rsidRPr="006B44C7" w:rsidRDefault="006B44C7" w:rsidP="00FD4539">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44C7">
              <w:rPr>
                <w:rFonts w:ascii="Times New Roman" w:hAnsi="Times New Roman" w:cs="Times New Roman"/>
                <w:sz w:val="24"/>
                <w:szCs w:val="24"/>
              </w:rPr>
              <w:t>6,6%</w:t>
            </w:r>
          </w:p>
        </w:tc>
        <w:tc>
          <w:tcPr>
            <w:tcW w:w="1158" w:type="dxa"/>
            <w:vAlign w:val="center"/>
          </w:tcPr>
          <w:p w14:paraId="72300D14" w14:textId="77777777" w:rsidR="006B44C7" w:rsidRPr="006B44C7" w:rsidRDefault="006B44C7" w:rsidP="00FD4539">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44C7">
              <w:rPr>
                <w:rFonts w:ascii="Times New Roman" w:hAnsi="Times New Roman" w:cs="Times New Roman"/>
                <w:sz w:val="24"/>
                <w:szCs w:val="24"/>
              </w:rPr>
              <w:t>5,2%</w:t>
            </w:r>
          </w:p>
        </w:tc>
        <w:tc>
          <w:tcPr>
            <w:tcW w:w="1244" w:type="dxa"/>
            <w:noWrap/>
            <w:vAlign w:val="center"/>
          </w:tcPr>
          <w:p w14:paraId="3872B180" w14:textId="77777777" w:rsidR="006B44C7" w:rsidRPr="006B44C7" w:rsidRDefault="006B44C7" w:rsidP="00FD4539">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44C7">
              <w:rPr>
                <w:rFonts w:ascii="Times New Roman" w:hAnsi="Times New Roman" w:cs="Times New Roman"/>
                <w:sz w:val="24"/>
                <w:szCs w:val="24"/>
              </w:rPr>
              <w:t>3,0%</w:t>
            </w:r>
          </w:p>
        </w:tc>
        <w:tc>
          <w:tcPr>
            <w:tcW w:w="1244" w:type="dxa"/>
            <w:noWrap/>
            <w:vAlign w:val="center"/>
          </w:tcPr>
          <w:p w14:paraId="23105172" w14:textId="77777777" w:rsidR="006B44C7" w:rsidRPr="006B44C7" w:rsidRDefault="006B44C7" w:rsidP="00FD4539">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44C7">
              <w:rPr>
                <w:rFonts w:ascii="Times New Roman" w:hAnsi="Times New Roman" w:cs="Times New Roman"/>
                <w:sz w:val="24"/>
                <w:szCs w:val="24"/>
              </w:rPr>
              <w:t>2,9%</w:t>
            </w:r>
          </w:p>
        </w:tc>
        <w:tc>
          <w:tcPr>
            <w:tcW w:w="1332" w:type="dxa"/>
            <w:noWrap/>
            <w:vAlign w:val="center"/>
          </w:tcPr>
          <w:p w14:paraId="44114301" w14:textId="77777777" w:rsidR="006B44C7" w:rsidRPr="006B44C7" w:rsidRDefault="006B44C7" w:rsidP="00FD4539">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44C7">
              <w:rPr>
                <w:rFonts w:ascii="Times New Roman" w:hAnsi="Times New Roman" w:cs="Times New Roman"/>
                <w:sz w:val="24"/>
                <w:szCs w:val="24"/>
              </w:rPr>
              <w:t>4,7%</w:t>
            </w:r>
          </w:p>
        </w:tc>
      </w:tr>
      <w:tr w:rsidR="006B44C7" w:rsidRPr="006B44C7" w14:paraId="48B3BFD7" w14:textId="77777777" w:rsidTr="00FD453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28" w:type="dxa"/>
            <w:vAlign w:val="center"/>
          </w:tcPr>
          <w:p w14:paraId="075F93C2" w14:textId="77777777" w:rsidR="006B44C7" w:rsidRPr="006B44C7" w:rsidRDefault="006B44C7" w:rsidP="00FD4539">
            <w:pPr>
              <w:spacing w:before="0" w:after="0"/>
              <w:rPr>
                <w:rFonts w:ascii="Times New Roman" w:hAnsi="Times New Roman" w:cs="Times New Roman"/>
                <w:b w:val="0"/>
                <w:bCs w:val="0"/>
                <w:sz w:val="24"/>
                <w:szCs w:val="24"/>
              </w:rPr>
            </w:pPr>
            <w:r w:rsidRPr="006B44C7">
              <w:rPr>
                <w:rFonts w:ascii="Times New Roman" w:hAnsi="Times New Roman" w:cs="Times New Roman"/>
                <w:color w:val="000000"/>
                <w:sz w:val="24"/>
                <w:szCs w:val="24"/>
              </w:rPr>
              <w:t>Standartkļūda</w:t>
            </w:r>
          </w:p>
        </w:tc>
        <w:tc>
          <w:tcPr>
            <w:tcW w:w="1158" w:type="dxa"/>
            <w:noWrap/>
            <w:vAlign w:val="center"/>
          </w:tcPr>
          <w:p w14:paraId="78B43C89" w14:textId="77777777" w:rsidR="006B44C7" w:rsidRPr="006B44C7" w:rsidRDefault="006B44C7" w:rsidP="00FD4539">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44C7">
              <w:rPr>
                <w:rFonts w:ascii="Times New Roman" w:hAnsi="Times New Roman" w:cs="Times New Roman"/>
                <w:sz w:val="24"/>
                <w:szCs w:val="24"/>
              </w:rPr>
              <w:t>1,2%</w:t>
            </w:r>
          </w:p>
        </w:tc>
        <w:tc>
          <w:tcPr>
            <w:tcW w:w="1158" w:type="dxa"/>
            <w:vAlign w:val="center"/>
          </w:tcPr>
          <w:p w14:paraId="3583436A" w14:textId="77777777" w:rsidR="006B44C7" w:rsidRPr="006B44C7" w:rsidRDefault="006B44C7" w:rsidP="00FD4539">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44C7">
              <w:rPr>
                <w:rFonts w:ascii="Times New Roman" w:hAnsi="Times New Roman" w:cs="Times New Roman"/>
                <w:sz w:val="24"/>
                <w:szCs w:val="24"/>
              </w:rPr>
              <w:t>0,9%</w:t>
            </w:r>
          </w:p>
        </w:tc>
        <w:tc>
          <w:tcPr>
            <w:tcW w:w="1244" w:type="dxa"/>
            <w:noWrap/>
            <w:vAlign w:val="center"/>
          </w:tcPr>
          <w:p w14:paraId="07BE05DD" w14:textId="77777777" w:rsidR="006B44C7" w:rsidRPr="006B44C7" w:rsidRDefault="006B44C7" w:rsidP="00FD4539">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44C7">
              <w:rPr>
                <w:rFonts w:ascii="Times New Roman" w:hAnsi="Times New Roman" w:cs="Times New Roman"/>
                <w:sz w:val="24"/>
                <w:szCs w:val="24"/>
              </w:rPr>
              <w:t>0,5%</w:t>
            </w:r>
          </w:p>
        </w:tc>
        <w:tc>
          <w:tcPr>
            <w:tcW w:w="1244" w:type="dxa"/>
            <w:noWrap/>
            <w:vAlign w:val="center"/>
          </w:tcPr>
          <w:p w14:paraId="1FF3A649" w14:textId="77777777" w:rsidR="006B44C7" w:rsidRPr="006B44C7" w:rsidRDefault="006B44C7" w:rsidP="00FD4539">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44C7">
              <w:rPr>
                <w:rFonts w:ascii="Times New Roman" w:hAnsi="Times New Roman" w:cs="Times New Roman"/>
                <w:sz w:val="24"/>
                <w:szCs w:val="24"/>
              </w:rPr>
              <w:t>0,5%</w:t>
            </w:r>
          </w:p>
        </w:tc>
        <w:tc>
          <w:tcPr>
            <w:tcW w:w="1332" w:type="dxa"/>
            <w:noWrap/>
            <w:vAlign w:val="center"/>
          </w:tcPr>
          <w:p w14:paraId="613EFE6F" w14:textId="77777777" w:rsidR="006B44C7" w:rsidRPr="006B44C7" w:rsidRDefault="006B44C7" w:rsidP="00FD4539">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44C7">
              <w:rPr>
                <w:rFonts w:ascii="Times New Roman" w:hAnsi="Times New Roman" w:cs="Times New Roman"/>
                <w:sz w:val="24"/>
                <w:szCs w:val="24"/>
              </w:rPr>
              <w:t>0,8%</w:t>
            </w:r>
          </w:p>
        </w:tc>
      </w:tr>
    </w:tbl>
    <w:p w14:paraId="502B49A7" w14:textId="4ABE2D37" w:rsidR="00EB6E96" w:rsidRDefault="00EB6E96" w:rsidP="00826677">
      <w:pPr>
        <w:spacing w:after="0"/>
        <w:rPr>
          <w:rFonts w:ascii="Times New Roman" w:hAnsi="Times New Roman" w:cs="Times New Roman"/>
          <w:sz w:val="20"/>
        </w:rPr>
      </w:pPr>
      <w:r w:rsidRPr="00EB6E96">
        <w:rPr>
          <w:sz w:val="20"/>
        </w:rPr>
        <w:t xml:space="preserve"> </w:t>
      </w:r>
      <w:r w:rsidRPr="00EB6E96">
        <w:rPr>
          <w:rFonts w:ascii="Times New Roman" w:hAnsi="Times New Roman" w:cs="Times New Roman"/>
          <w:sz w:val="20"/>
        </w:rPr>
        <w:t>Avots: Pētījums</w:t>
      </w:r>
    </w:p>
    <w:p w14:paraId="4E315227" w14:textId="77777777" w:rsidR="00826677" w:rsidRPr="00EB6E96" w:rsidRDefault="00826677" w:rsidP="00826677">
      <w:pPr>
        <w:spacing w:after="0"/>
        <w:rPr>
          <w:rFonts w:ascii="Times New Roman" w:hAnsi="Times New Roman" w:cs="Times New Roman"/>
          <w:sz w:val="20"/>
        </w:rPr>
      </w:pPr>
    </w:p>
    <w:p w14:paraId="059631FD" w14:textId="1ABED9E3" w:rsidR="00EB6E96" w:rsidRDefault="00EB6E96" w:rsidP="009F2AA0">
      <w:pPr>
        <w:spacing w:after="0"/>
        <w:ind w:firstLine="851"/>
        <w:jc w:val="both"/>
        <w:rPr>
          <w:rFonts w:ascii="Times New Roman" w:hAnsi="Times New Roman" w:cs="Times New Roman"/>
          <w:sz w:val="28"/>
          <w:szCs w:val="28"/>
        </w:rPr>
      </w:pPr>
      <w:r w:rsidRPr="00DE389A">
        <w:rPr>
          <w:rFonts w:ascii="Times New Roman" w:hAnsi="Times New Roman" w:cs="Times New Roman"/>
          <w:sz w:val="28"/>
          <w:szCs w:val="28"/>
        </w:rPr>
        <w:t>Pētījum</w:t>
      </w:r>
      <w:r w:rsidR="00DE389A">
        <w:rPr>
          <w:rFonts w:ascii="Times New Roman" w:hAnsi="Times New Roman" w:cs="Times New Roman"/>
          <w:sz w:val="28"/>
          <w:szCs w:val="28"/>
        </w:rPr>
        <w:t>ā secināts</w:t>
      </w:r>
      <w:r w:rsidRPr="00DE389A">
        <w:rPr>
          <w:rFonts w:ascii="Times New Roman" w:hAnsi="Times New Roman" w:cs="Times New Roman"/>
          <w:sz w:val="28"/>
          <w:szCs w:val="28"/>
        </w:rPr>
        <w:t>, ka nav novērojama pārmērīga peļņas normas palielināšana, pieaugot būvniecības produkcijas apjomam, kas praksē varētu deformēt arī izmaksu-apjoma elastības modeli. Tas norāda arī uz lielāku nozares pašregulācijas spēju un ir uzskatāms par svarīgu indikatoru kopējai nozares ilgtspējai un attīstības stabilitātei.</w:t>
      </w:r>
    </w:p>
    <w:p w14:paraId="26B9A931" w14:textId="77777777" w:rsidR="00DE389A" w:rsidRPr="00DE389A" w:rsidRDefault="00DE389A" w:rsidP="00A23951">
      <w:pPr>
        <w:spacing w:after="0"/>
        <w:ind w:firstLine="709"/>
        <w:jc w:val="both"/>
        <w:rPr>
          <w:rStyle w:val="st"/>
          <w:rFonts w:ascii="Times New Roman" w:hAnsi="Times New Roman" w:cs="Times New Roman"/>
          <w:sz w:val="32"/>
          <w:szCs w:val="32"/>
        </w:rPr>
      </w:pPr>
    </w:p>
    <w:p w14:paraId="05A1B964" w14:textId="20B4C897" w:rsidR="00230F81" w:rsidRPr="00DE389A" w:rsidRDefault="00590D40" w:rsidP="00230F81">
      <w:pPr>
        <w:pStyle w:val="Heading2"/>
        <w:rPr>
          <w:rFonts w:ascii="Times New Roman" w:hAnsi="Times New Roman"/>
          <w:b/>
          <w:sz w:val="28"/>
          <w:szCs w:val="28"/>
        </w:rPr>
      </w:pPr>
      <w:bookmarkStart w:id="24" w:name="_Toc15480940"/>
      <w:r>
        <w:rPr>
          <w:rFonts w:ascii="Times New Roman" w:hAnsi="Times New Roman"/>
          <w:b/>
          <w:sz w:val="28"/>
          <w:szCs w:val="28"/>
        </w:rPr>
        <w:t>2.2.5</w:t>
      </w:r>
      <w:r w:rsidR="00230F81" w:rsidRPr="00DE389A">
        <w:rPr>
          <w:rFonts w:ascii="Times New Roman" w:hAnsi="Times New Roman"/>
          <w:b/>
          <w:sz w:val="28"/>
          <w:szCs w:val="28"/>
        </w:rPr>
        <w:t>. Ēnu ekonomikas apkarošanas pasākumu ietekme</w:t>
      </w:r>
      <w:bookmarkEnd w:id="24"/>
    </w:p>
    <w:p w14:paraId="1292837E" w14:textId="77777777" w:rsidR="00590D40" w:rsidRDefault="00590D40" w:rsidP="00230F81">
      <w:pPr>
        <w:ind w:firstLine="720"/>
        <w:jc w:val="both"/>
        <w:rPr>
          <w:rFonts w:ascii="Times New Roman" w:hAnsi="Times New Roman"/>
          <w:sz w:val="28"/>
          <w:szCs w:val="28"/>
        </w:rPr>
      </w:pPr>
    </w:p>
    <w:p w14:paraId="6B10C9FE" w14:textId="527FF979" w:rsidR="00230F81" w:rsidRPr="00DE389A" w:rsidRDefault="00230F81" w:rsidP="009F2AA0">
      <w:pPr>
        <w:ind w:firstLine="851"/>
        <w:jc w:val="both"/>
        <w:rPr>
          <w:rStyle w:val="st"/>
          <w:rFonts w:ascii="Times New Roman" w:hAnsi="Times New Roman"/>
          <w:sz w:val="28"/>
          <w:szCs w:val="28"/>
        </w:rPr>
      </w:pPr>
      <w:r w:rsidRPr="00DE389A">
        <w:rPr>
          <w:rFonts w:ascii="Times New Roman" w:hAnsi="Times New Roman"/>
          <w:sz w:val="28"/>
          <w:szCs w:val="28"/>
        </w:rPr>
        <w:t xml:space="preserve">Vērtējot ēnu ekonomikas apkarošanas pasākumu ietekmi uz būvmateriālu un darbaspēka izmaksu izmaiņām, </w:t>
      </w:r>
      <w:r w:rsidRPr="00DE389A">
        <w:rPr>
          <w:rFonts w:ascii="Times New Roman" w:hAnsi="Times New Roman"/>
          <w:bCs/>
          <w:sz w:val="28"/>
          <w:szCs w:val="28"/>
        </w:rPr>
        <w:t xml:space="preserve">kas tika noteikti ekspertvērtējumā 10 ballu sistēmā, </w:t>
      </w:r>
      <w:bookmarkStart w:id="25" w:name="_Hlk13490196"/>
      <w:r w:rsidRPr="00DE389A">
        <w:rPr>
          <w:rFonts w:ascii="Times New Roman" w:hAnsi="Times New Roman"/>
          <w:bCs/>
          <w:sz w:val="28"/>
          <w:szCs w:val="28"/>
        </w:rPr>
        <w:t>k</w:t>
      </w:r>
      <w:r w:rsidRPr="00DE389A">
        <w:rPr>
          <w:rStyle w:val="st"/>
          <w:rFonts w:ascii="Times New Roman" w:hAnsi="Times New Roman"/>
          <w:sz w:val="28"/>
          <w:szCs w:val="28"/>
        </w:rPr>
        <w:t xml:space="preserve">opumā, visiem ēnu ekonomikas apkarošanas pasākumiem ir pozitīvs efekts uz darbaspēka un būvmateriālu izmaksu izmaiņām. Tomēr tie daudz izteiktāk ietekmē darbaspēka izmaksu izmaiņas. </w:t>
      </w:r>
      <w:bookmarkStart w:id="26" w:name="_Hlk13490149"/>
      <w:bookmarkEnd w:id="25"/>
      <w:r w:rsidRPr="00DE389A">
        <w:rPr>
          <w:rStyle w:val="st"/>
          <w:rFonts w:ascii="Times New Roman" w:hAnsi="Times New Roman"/>
          <w:sz w:val="28"/>
          <w:szCs w:val="28"/>
        </w:rPr>
        <w:t>Kā darbaspēka izmaksu izmaiņas visvairāk ietekmējošie ēnu ekonomikas apkarošanas pasākumi, tiek minēti divi:</w:t>
      </w:r>
    </w:p>
    <w:p w14:paraId="7E221433" w14:textId="77777777" w:rsidR="00230F81" w:rsidRPr="00DE389A" w:rsidRDefault="00230F81" w:rsidP="00230F81">
      <w:pPr>
        <w:pStyle w:val="ListParagraph"/>
        <w:numPr>
          <w:ilvl w:val="0"/>
          <w:numId w:val="3"/>
        </w:numPr>
        <w:spacing w:line="276" w:lineRule="auto"/>
        <w:jc w:val="both"/>
        <w:rPr>
          <w:rStyle w:val="st"/>
          <w:rFonts w:ascii="Times New Roman" w:hAnsi="Times New Roman" w:cs="Times New Roman"/>
          <w:sz w:val="28"/>
          <w:szCs w:val="28"/>
        </w:rPr>
      </w:pPr>
      <w:r w:rsidRPr="00DE389A">
        <w:rPr>
          <w:rStyle w:val="st"/>
          <w:rFonts w:ascii="Times New Roman" w:hAnsi="Times New Roman" w:cs="Times New Roman"/>
          <w:sz w:val="28"/>
          <w:szCs w:val="28"/>
        </w:rPr>
        <w:t>Elektroniskās darba laika uzskaites sistēmas pilna ieviešana, t.sk. datu nodošana VID (5,68);</w:t>
      </w:r>
    </w:p>
    <w:p w14:paraId="7C6DDD56" w14:textId="0EF65730" w:rsidR="0047224C" w:rsidRDefault="00230F81" w:rsidP="00230F81">
      <w:pPr>
        <w:pStyle w:val="ListParagraph"/>
        <w:numPr>
          <w:ilvl w:val="0"/>
          <w:numId w:val="3"/>
        </w:numPr>
        <w:spacing w:line="276" w:lineRule="auto"/>
        <w:jc w:val="both"/>
        <w:rPr>
          <w:rStyle w:val="st"/>
          <w:rFonts w:ascii="Times New Roman" w:hAnsi="Times New Roman" w:cs="Times New Roman"/>
          <w:sz w:val="28"/>
          <w:szCs w:val="28"/>
        </w:rPr>
      </w:pPr>
      <w:r w:rsidRPr="00DE389A">
        <w:rPr>
          <w:rStyle w:val="st"/>
          <w:rFonts w:ascii="Times New Roman" w:hAnsi="Times New Roman" w:cs="Times New Roman"/>
          <w:sz w:val="28"/>
          <w:szCs w:val="28"/>
        </w:rPr>
        <w:t>Minimālā atalgojuma līmeņa noteikšana būvniecības nozarē, izmantojot ģenerālvienošanos (5,56).</w:t>
      </w:r>
    </w:p>
    <w:p w14:paraId="1B7B744D" w14:textId="77777777" w:rsidR="0047224C" w:rsidRDefault="0047224C">
      <w:pPr>
        <w:rPr>
          <w:rStyle w:val="st"/>
          <w:rFonts w:ascii="Times New Roman" w:hAnsi="Times New Roman" w:cs="Times New Roman"/>
          <w:sz w:val="28"/>
          <w:szCs w:val="28"/>
        </w:rPr>
      </w:pPr>
      <w:r>
        <w:rPr>
          <w:rStyle w:val="st"/>
          <w:rFonts w:ascii="Times New Roman" w:hAnsi="Times New Roman" w:cs="Times New Roman"/>
          <w:sz w:val="28"/>
          <w:szCs w:val="28"/>
        </w:rPr>
        <w:br w:type="page"/>
      </w:r>
    </w:p>
    <w:p w14:paraId="3F6C8D01" w14:textId="04C0D80E" w:rsidR="00EE4040" w:rsidRDefault="00461A80" w:rsidP="00F0398B">
      <w:pPr>
        <w:pStyle w:val="Heading1"/>
        <w:rPr>
          <w:sz w:val="24"/>
          <w:szCs w:val="24"/>
        </w:rPr>
      </w:pPr>
      <w:bookmarkStart w:id="27" w:name="_Toc15480941"/>
      <w:bookmarkEnd w:id="26"/>
      <w:r w:rsidRPr="00F0398B">
        <w:lastRenderedPageBreak/>
        <w:t>3</w:t>
      </w:r>
      <w:r w:rsidR="00EE4040" w:rsidRPr="00F0398B">
        <w:t>. Publisk</w:t>
      </w:r>
      <w:r w:rsidR="0047224C" w:rsidRPr="00F0398B">
        <w:t>ie</w:t>
      </w:r>
      <w:r w:rsidR="006847EE" w:rsidRPr="00F0398B">
        <w:t xml:space="preserve"> būvdarbu</w:t>
      </w:r>
      <w:r w:rsidR="0047224C" w:rsidRPr="00F0398B">
        <w:t xml:space="preserve"> projekti un</w:t>
      </w:r>
      <w:r w:rsidR="006847EE" w:rsidRPr="00F0398B">
        <w:t xml:space="preserve"> </w:t>
      </w:r>
      <w:r w:rsidR="00570EE9" w:rsidRPr="00F0398B">
        <w:t>ieceres</w:t>
      </w:r>
      <w:r w:rsidR="00EE4040" w:rsidRPr="00F0398B">
        <w:t xml:space="preserve"> no 201</w:t>
      </w:r>
      <w:r w:rsidR="00570EE9" w:rsidRPr="00F0398B">
        <w:t>7</w:t>
      </w:r>
      <w:r w:rsidR="00EE4040" w:rsidRPr="00F0398B">
        <w:t>. – 20</w:t>
      </w:r>
      <w:r w:rsidR="00570EE9" w:rsidRPr="00F0398B">
        <w:t>23</w:t>
      </w:r>
      <w:r w:rsidR="00EE4040" w:rsidRPr="00F0398B">
        <w:t>.gad</w:t>
      </w:r>
      <w:bookmarkEnd w:id="27"/>
      <w:r w:rsidR="0047224C" w:rsidRPr="00F0398B">
        <w:t>am</w:t>
      </w:r>
    </w:p>
    <w:p w14:paraId="0800E0CC" w14:textId="2BBE4F0D" w:rsidR="00484B85" w:rsidRPr="00570EE9" w:rsidRDefault="00484B85" w:rsidP="00C65CDB">
      <w:pPr>
        <w:suppressAutoHyphens/>
        <w:spacing w:after="0"/>
        <w:ind w:firstLine="851"/>
        <w:jc w:val="both"/>
        <w:rPr>
          <w:rFonts w:ascii="Times New Roman" w:hAnsi="Times New Roman"/>
          <w:sz w:val="28"/>
          <w:szCs w:val="28"/>
        </w:rPr>
      </w:pPr>
      <w:r w:rsidRPr="00570EE9">
        <w:rPr>
          <w:rFonts w:ascii="Times New Roman" w:hAnsi="Times New Roman"/>
          <w:sz w:val="28"/>
          <w:szCs w:val="28"/>
        </w:rPr>
        <w:t>Ekonomikas ministrija 2019.gadā no aprīļa līdz jūnijam veica aptauju, kurā tika apkopoti dati par publiskajām būvdarbu iecerēm 2017.-2023.gad</w:t>
      </w:r>
      <w:r w:rsidR="00570EE9">
        <w:rPr>
          <w:rFonts w:ascii="Times New Roman" w:hAnsi="Times New Roman"/>
          <w:sz w:val="28"/>
          <w:szCs w:val="28"/>
        </w:rPr>
        <w:t>am</w:t>
      </w:r>
      <w:r w:rsidRPr="00570EE9">
        <w:rPr>
          <w:rFonts w:ascii="Times New Roman" w:hAnsi="Times New Roman"/>
          <w:sz w:val="28"/>
          <w:szCs w:val="28"/>
        </w:rPr>
        <w:t xml:space="preserve">. Dati tika ievākti aptaujājot visas ministrijas, to padotības iestādes, valsts kapitālsabiedrības, pašvaldības un to kapitālsabiedrības, CFLA un Lauku atbalsta dienestu. Aptaujā tika lūgts </w:t>
      </w:r>
      <w:r w:rsidR="00570EE9">
        <w:rPr>
          <w:rFonts w:ascii="Times New Roman" w:hAnsi="Times New Roman"/>
          <w:sz w:val="28"/>
          <w:szCs w:val="28"/>
        </w:rPr>
        <w:t>sniegt detalizētu informāciju par</w:t>
      </w:r>
      <w:r w:rsidRPr="00570EE9">
        <w:rPr>
          <w:rFonts w:ascii="Times New Roman" w:hAnsi="Times New Roman"/>
          <w:sz w:val="28"/>
          <w:szCs w:val="28"/>
        </w:rPr>
        <w:t xml:space="preserve"> būvniecības iecer</w:t>
      </w:r>
      <w:r w:rsidR="00570EE9">
        <w:rPr>
          <w:rFonts w:ascii="Times New Roman" w:hAnsi="Times New Roman"/>
          <w:sz w:val="28"/>
          <w:szCs w:val="28"/>
        </w:rPr>
        <w:t>ēm</w:t>
      </w:r>
      <w:r w:rsidR="00151B04">
        <w:rPr>
          <w:rFonts w:ascii="Times New Roman" w:hAnsi="Times New Roman"/>
          <w:sz w:val="28"/>
          <w:szCs w:val="28"/>
        </w:rPr>
        <w:t xml:space="preserve"> un apstiprinātiem projektiem</w:t>
      </w:r>
      <w:r w:rsidRPr="00570EE9">
        <w:rPr>
          <w:rFonts w:ascii="Times New Roman" w:hAnsi="Times New Roman"/>
          <w:sz w:val="28"/>
          <w:szCs w:val="28"/>
        </w:rPr>
        <w:t>, kur</w:t>
      </w:r>
      <w:r w:rsidR="00151B04">
        <w:rPr>
          <w:rFonts w:ascii="Times New Roman" w:hAnsi="Times New Roman"/>
          <w:sz w:val="28"/>
          <w:szCs w:val="28"/>
        </w:rPr>
        <w:t>iem</w:t>
      </w:r>
      <w:r w:rsidRPr="00570EE9">
        <w:rPr>
          <w:rFonts w:ascii="Times New Roman" w:hAnsi="Times New Roman"/>
          <w:sz w:val="28"/>
          <w:szCs w:val="28"/>
        </w:rPr>
        <w:t xml:space="preserve"> būvdarbu izmaksas ir vismaz 170 000 </w:t>
      </w:r>
      <w:r w:rsidRPr="00570EE9">
        <w:rPr>
          <w:rFonts w:ascii="Times New Roman" w:hAnsi="Times New Roman"/>
          <w:i/>
          <w:iCs/>
          <w:sz w:val="28"/>
          <w:szCs w:val="28"/>
        </w:rPr>
        <w:t>euro</w:t>
      </w:r>
      <w:r w:rsidRPr="00570EE9">
        <w:rPr>
          <w:rFonts w:ascii="Times New Roman" w:hAnsi="Times New Roman"/>
          <w:sz w:val="28"/>
          <w:szCs w:val="28"/>
        </w:rPr>
        <w:t xml:space="preserve">. </w:t>
      </w:r>
    </w:p>
    <w:p w14:paraId="6B31E4A7" w14:textId="2BBDBE59" w:rsidR="00151B04" w:rsidRDefault="00151B04" w:rsidP="00151B04">
      <w:pPr>
        <w:suppressAutoHyphens/>
        <w:ind w:firstLine="851"/>
        <w:jc w:val="both"/>
        <w:rPr>
          <w:rFonts w:ascii="Times New Roman" w:hAnsi="Times New Roman"/>
          <w:sz w:val="28"/>
          <w:szCs w:val="28"/>
        </w:rPr>
      </w:pPr>
      <w:r>
        <w:rPr>
          <w:rFonts w:ascii="Times New Roman" w:hAnsi="Times New Roman"/>
          <w:sz w:val="28"/>
          <w:szCs w:val="28"/>
        </w:rPr>
        <w:t xml:space="preserve">Būvniecības apjomu pieaugums no 2017. līdz 2019.gadam noteica ES fondu projektu realizācija. </w:t>
      </w:r>
      <w:r w:rsidRPr="00570EE9">
        <w:rPr>
          <w:rFonts w:ascii="Times New Roman" w:hAnsi="Times New Roman"/>
          <w:sz w:val="28"/>
          <w:szCs w:val="28"/>
        </w:rPr>
        <w:t>Apstiprinātaj</w:t>
      </w:r>
      <w:r>
        <w:rPr>
          <w:rFonts w:ascii="Times New Roman" w:hAnsi="Times New Roman"/>
          <w:sz w:val="28"/>
          <w:szCs w:val="28"/>
        </w:rPr>
        <w:t>ie</w:t>
      </w:r>
      <w:r w:rsidRPr="00570EE9">
        <w:rPr>
          <w:rFonts w:ascii="Times New Roman" w:hAnsi="Times New Roman"/>
          <w:sz w:val="28"/>
          <w:szCs w:val="28"/>
        </w:rPr>
        <w:t>m projektiem ir vērojams pieaugums 2018.gadā</w:t>
      </w:r>
      <w:r>
        <w:rPr>
          <w:rFonts w:ascii="Times New Roman" w:hAnsi="Times New Roman"/>
          <w:sz w:val="28"/>
          <w:szCs w:val="28"/>
        </w:rPr>
        <w:t xml:space="preserve"> par</w:t>
      </w:r>
      <w:r w:rsidRPr="00570EE9">
        <w:rPr>
          <w:rFonts w:ascii="Times New Roman" w:hAnsi="Times New Roman"/>
          <w:sz w:val="28"/>
          <w:szCs w:val="28"/>
        </w:rPr>
        <w:t xml:space="preserve"> 508 milj. </w:t>
      </w:r>
      <w:r w:rsidRPr="00570EE9">
        <w:rPr>
          <w:rFonts w:ascii="Times New Roman" w:hAnsi="Times New Roman"/>
          <w:i/>
          <w:iCs/>
          <w:sz w:val="28"/>
          <w:szCs w:val="28"/>
        </w:rPr>
        <w:t>euro</w:t>
      </w:r>
      <w:r w:rsidRPr="00570EE9">
        <w:rPr>
          <w:rFonts w:ascii="Times New Roman" w:hAnsi="Times New Roman"/>
          <w:sz w:val="28"/>
          <w:szCs w:val="28"/>
        </w:rPr>
        <w:t xml:space="preserve"> </w:t>
      </w:r>
      <w:r>
        <w:rPr>
          <w:rFonts w:ascii="Times New Roman" w:hAnsi="Times New Roman"/>
          <w:sz w:val="28"/>
          <w:szCs w:val="28"/>
        </w:rPr>
        <w:t xml:space="preserve">pret 2017.gadu </w:t>
      </w:r>
      <w:r w:rsidRPr="00570EE9">
        <w:rPr>
          <w:rFonts w:ascii="Times New Roman" w:hAnsi="Times New Roman"/>
          <w:sz w:val="28"/>
          <w:szCs w:val="28"/>
        </w:rPr>
        <w:t>un 2019.gadā</w:t>
      </w:r>
      <w:r>
        <w:rPr>
          <w:rFonts w:ascii="Times New Roman" w:hAnsi="Times New Roman"/>
          <w:sz w:val="28"/>
          <w:szCs w:val="28"/>
        </w:rPr>
        <w:t xml:space="preserve"> par </w:t>
      </w:r>
      <w:r w:rsidRPr="00570EE9">
        <w:rPr>
          <w:rFonts w:ascii="Times New Roman" w:hAnsi="Times New Roman"/>
          <w:sz w:val="28"/>
          <w:szCs w:val="28"/>
        </w:rPr>
        <w:t xml:space="preserve">307 milj. </w:t>
      </w:r>
      <w:r w:rsidRPr="00570EE9">
        <w:rPr>
          <w:rFonts w:ascii="Times New Roman" w:hAnsi="Times New Roman"/>
          <w:i/>
          <w:iCs/>
          <w:sz w:val="28"/>
          <w:szCs w:val="28"/>
        </w:rPr>
        <w:t>euro</w:t>
      </w:r>
      <w:r w:rsidRPr="00570EE9">
        <w:rPr>
          <w:rFonts w:ascii="Times New Roman" w:hAnsi="Times New Roman"/>
          <w:sz w:val="28"/>
          <w:szCs w:val="28"/>
        </w:rPr>
        <w:t xml:space="preserve"> </w:t>
      </w:r>
      <w:r>
        <w:rPr>
          <w:rFonts w:ascii="Times New Roman" w:hAnsi="Times New Roman"/>
          <w:sz w:val="28"/>
          <w:szCs w:val="28"/>
        </w:rPr>
        <w:t xml:space="preserve">pret 2018.gadu </w:t>
      </w:r>
      <w:r w:rsidRPr="00570EE9">
        <w:rPr>
          <w:rFonts w:ascii="Times New Roman" w:hAnsi="Times New Roman" w:cs="Times New Roman"/>
          <w:sz w:val="28"/>
          <w:szCs w:val="28"/>
        </w:rPr>
        <w:t>(skatīt attēlu Nr. 1</w:t>
      </w:r>
      <w:r w:rsidR="002729B2">
        <w:rPr>
          <w:rFonts w:ascii="Times New Roman" w:hAnsi="Times New Roman" w:cs="Times New Roman"/>
          <w:sz w:val="28"/>
          <w:szCs w:val="28"/>
        </w:rPr>
        <w:t>7</w:t>
      </w:r>
      <w:r w:rsidRPr="00570EE9">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sz w:val="28"/>
          <w:szCs w:val="28"/>
        </w:rPr>
        <w:t xml:space="preserve"> 2020.gadā ir redzams apjomu kritums, tomēr arī 2020.gadā apjoms varētu pieaugt jo:</w:t>
      </w:r>
    </w:p>
    <w:p w14:paraId="357FB012" w14:textId="6F1C9C48" w:rsidR="00151B04" w:rsidRDefault="00151B04" w:rsidP="00151B04">
      <w:pPr>
        <w:pStyle w:val="ListParagraph"/>
        <w:numPr>
          <w:ilvl w:val="0"/>
          <w:numId w:val="7"/>
        </w:numPr>
        <w:suppressAutoHyphens/>
        <w:jc w:val="both"/>
        <w:rPr>
          <w:rFonts w:ascii="Times New Roman" w:hAnsi="Times New Roman"/>
          <w:sz w:val="28"/>
          <w:szCs w:val="28"/>
        </w:rPr>
      </w:pPr>
      <w:r>
        <w:rPr>
          <w:rFonts w:ascii="Times New Roman" w:hAnsi="Times New Roman"/>
          <w:sz w:val="28"/>
          <w:szCs w:val="28"/>
        </w:rPr>
        <w:t>būvniecība netiek plānota ilgtermiņā;</w:t>
      </w:r>
    </w:p>
    <w:p w14:paraId="37A46713" w14:textId="27ABE951" w:rsidR="00151B04" w:rsidRPr="00151B04" w:rsidRDefault="00151B04" w:rsidP="00151B04">
      <w:pPr>
        <w:pStyle w:val="ListParagraph"/>
        <w:numPr>
          <w:ilvl w:val="0"/>
          <w:numId w:val="7"/>
        </w:numPr>
        <w:suppressAutoHyphens/>
        <w:jc w:val="both"/>
        <w:rPr>
          <w:rFonts w:ascii="Times New Roman" w:hAnsi="Times New Roman"/>
          <w:sz w:val="28"/>
          <w:szCs w:val="28"/>
        </w:rPr>
      </w:pPr>
      <w:r>
        <w:rPr>
          <w:rFonts w:ascii="Times New Roman" w:hAnsi="Times New Roman"/>
          <w:sz w:val="28"/>
          <w:szCs w:val="28"/>
        </w:rPr>
        <w:t xml:space="preserve">daļa ES fondu projektu netiek </w:t>
      </w:r>
      <w:r w:rsidR="00220277">
        <w:rPr>
          <w:rFonts w:ascii="Times New Roman" w:hAnsi="Times New Roman"/>
          <w:sz w:val="28"/>
          <w:szCs w:val="28"/>
        </w:rPr>
        <w:t>īstenoti</w:t>
      </w:r>
      <w:r>
        <w:rPr>
          <w:rFonts w:ascii="Times New Roman" w:hAnsi="Times New Roman"/>
          <w:sz w:val="28"/>
          <w:szCs w:val="28"/>
        </w:rPr>
        <w:t xml:space="preserve"> plānotajā gadā un pāriet uz nākošo realizācijas gadu.</w:t>
      </w:r>
    </w:p>
    <w:p w14:paraId="02E00C67" w14:textId="77777777" w:rsidR="00151B04" w:rsidRPr="002729B2" w:rsidRDefault="00151B04" w:rsidP="00E50D87">
      <w:pPr>
        <w:suppressAutoHyphens/>
        <w:spacing w:after="0"/>
        <w:rPr>
          <w:rFonts w:ascii="Times New Roman" w:hAnsi="Times New Roman"/>
          <w:i/>
          <w:iCs/>
          <w:sz w:val="10"/>
          <w:szCs w:val="10"/>
        </w:rPr>
      </w:pPr>
    </w:p>
    <w:p w14:paraId="2DB0E6CB" w14:textId="071D57A5" w:rsidR="00484B85" w:rsidRPr="00DA60BD" w:rsidRDefault="00484B85" w:rsidP="00DA60BD">
      <w:pPr>
        <w:suppressAutoHyphens/>
        <w:spacing w:after="0"/>
        <w:jc w:val="center"/>
        <w:rPr>
          <w:rFonts w:ascii="Times New Roman" w:hAnsi="Times New Roman"/>
          <w:b/>
          <w:bCs/>
          <w:i/>
          <w:iCs/>
          <w:sz w:val="28"/>
          <w:szCs w:val="28"/>
        </w:rPr>
      </w:pPr>
      <w:r w:rsidRPr="00DA60BD">
        <w:rPr>
          <w:rFonts w:ascii="Times New Roman" w:hAnsi="Times New Roman"/>
          <w:b/>
          <w:bCs/>
          <w:i/>
          <w:iCs/>
          <w:sz w:val="28"/>
          <w:szCs w:val="28"/>
        </w:rPr>
        <w:t>Attēls Nr.</w:t>
      </w:r>
      <w:r w:rsidR="007F6F6A" w:rsidRPr="00DA60BD">
        <w:rPr>
          <w:rFonts w:ascii="Times New Roman" w:hAnsi="Times New Roman"/>
          <w:b/>
          <w:bCs/>
          <w:i/>
          <w:iCs/>
          <w:sz w:val="28"/>
          <w:szCs w:val="28"/>
        </w:rPr>
        <w:t>1</w:t>
      </w:r>
      <w:r w:rsidR="002729B2">
        <w:rPr>
          <w:rFonts w:ascii="Times New Roman" w:hAnsi="Times New Roman"/>
          <w:b/>
          <w:bCs/>
          <w:i/>
          <w:iCs/>
          <w:sz w:val="28"/>
          <w:szCs w:val="28"/>
        </w:rPr>
        <w:t>7</w:t>
      </w:r>
      <w:r w:rsidRPr="00DA60BD">
        <w:rPr>
          <w:rFonts w:ascii="Times New Roman" w:hAnsi="Times New Roman"/>
          <w:b/>
          <w:bCs/>
          <w:i/>
          <w:iCs/>
          <w:sz w:val="28"/>
          <w:szCs w:val="28"/>
        </w:rPr>
        <w:t>. Apstiprināto projektu būvdarbu apjoms milj. euro.</w:t>
      </w:r>
    </w:p>
    <w:p w14:paraId="6F7FA623" w14:textId="77777777" w:rsidR="00484B85" w:rsidRPr="00B64BBC" w:rsidRDefault="00484B85" w:rsidP="00B64BBC">
      <w:pPr>
        <w:suppressAutoHyphens/>
        <w:rPr>
          <w:rFonts w:ascii="Times New Roman" w:hAnsi="Times New Roman"/>
          <w:sz w:val="28"/>
          <w:szCs w:val="28"/>
        </w:rPr>
      </w:pPr>
      <w:r w:rsidRPr="00B64BBC">
        <w:rPr>
          <w:rFonts w:ascii="Times New Roman" w:hAnsi="Times New Roman"/>
          <w:noProof/>
        </w:rPr>
        <w:drawing>
          <wp:inline distT="0" distB="0" distL="0" distR="0" wp14:anchorId="5289D254" wp14:editId="3EF5E882">
            <wp:extent cx="5753100" cy="3886200"/>
            <wp:effectExtent l="0" t="0" r="0" b="0"/>
            <wp:docPr id="3" name="Chart 3">
              <a:extLst xmlns:a="http://schemas.openxmlformats.org/drawingml/2006/main">
                <a:ext uri="{FF2B5EF4-FFF2-40B4-BE49-F238E27FC236}">
                  <a16:creationId xmlns:a16="http://schemas.microsoft.com/office/drawing/2014/main" id="{E3106485-AD4E-4409-96EA-E82B41EC2F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2C2232D" w14:textId="1CCC6990" w:rsidR="002729B2" w:rsidRDefault="00484B85" w:rsidP="002729B2">
      <w:pPr>
        <w:suppressAutoHyphens/>
        <w:jc w:val="both"/>
        <w:rPr>
          <w:rFonts w:ascii="Times New Roman" w:hAnsi="Times New Roman"/>
          <w:sz w:val="20"/>
          <w:szCs w:val="20"/>
        </w:rPr>
      </w:pPr>
      <w:r w:rsidRPr="00570EE9">
        <w:rPr>
          <w:rFonts w:ascii="Times New Roman" w:hAnsi="Times New Roman"/>
          <w:sz w:val="20"/>
          <w:szCs w:val="20"/>
        </w:rPr>
        <w:t xml:space="preserve">Avots: Ekonomikas ministrijas apkopotie dati </w:t>
      </w:r>
      <w:r w:rsidR="002729B2">
        <w:rPr>
          <w:rFonts w:ascii="Times New Roman" w:hAnsi="Times New Roman"/>
          <w:sz w:val="20"/>
          <w:szCs w:val="20"/>
        </w:rPr>
        <w:br w:type="page"/>
      </w:r>
    </w:p>
    <w:p w14:paraId="205E2798" w14:textId="7571B70C" w:rsidR="00994907" w:rsidRPr="00570EE9" w:rsidRDefault="00484B85" w:rsidP="001700A5">
      <w:pPr>
        <w:suppressAutoHyphens/>
        <w:spacing w:after="0" w:line="276" w:lineRule="auto"/>
        <w:ind w:firstLine="720"/>
        <w:jc w:val="both"/>
        <w:rPr>
          <w:rFonts w:ascii="Times New Roman" w:hAnsi="Times New Roman"/>
          <w:sz w:val="28"/>
          <w:szCs w:val="28"/>
        </w:rPr>
      </w:pPr>
      <w:r w:rsidRPr="00570EE9">
        <w:rPr>
          <w:rFonts w:ascii="Times New Roman" w:hAnsi="Times New Roman"/>
          <w:sz w:val="28"/>
          <w:szCs w:val="28"/>
        </w:rPr>
        <w:lastRenderedPageBreak/>
        <w:t xml:space="preserve">Daļu no apjomu pieauguma </w:t>
      </w:r>
      <w:r w:rsidR="00E4753F" w:rsidRPr="00570EE9">
        <w:rPr>
          <w:rFonts w:ascii="Times New Roman" w:hAnsi="Times New Roman"/>
          <w:sz w:val="28"/>
          <w:szCs w:val="28"/>
        </w:rPr>
        <w:t>a</w:t>
      </w:r>
      <w:r w:rsidRPr="00570EE9">
        <w:rPr>
          <w:rFonts w:ascii="Times New Roman" w:hAnsi="Times New Roman"/>
          <w:sz w:val="28"/>
          <w:szCs w:val="28"/>
        </w:rPr>
        <w:t xml:space="preserve">pstiprinātiem projektiem ar ES struktūrfondu finansējuma rada arī tas, ka 2017.gadā neīstenotie projekti tika pārcelti uz 2018.gadu un 2018.gadā neīstenotie projekti tika pārcelti uz 2019.gada, ko parāda 2018. un 2019.gadā veikto aptauju salīdzinājums </w:t>
      </w:r>
      <w:r w:rsidR="00D53900" w:rsidRPr="00570EE9">
        <w:rPr>
          <w:rFonts w:ascii="Times New Roman" w:hAnsi="Times New Roman" w:cs="Times New Roman"/>
          <w:sz w:val="28"/>
          <w:szCs w:val="28"/>
        </w:rPr>
        <w:t xml:space="preserve">(skatīt attēlu Nr. </w:t>
      </w:r>
      <w:r w:rsidR="00220277">
        <w:rPr>
          <w:rFonts w:ascii="Times New Roman" w:hAnsi="Times New Roman" w:cs="Times New Roman"/>
          <w:sz w:val="28"/>
          <w:szCs w:val="28"/>
        </w:rPr>
        <w:t>1</w:t>
      </w:r>
      <w:r w:rsidR="002729B2">
        <w:rPr>
          <w:rFonts w:ascii="Times New Roman" w:hAnsi="Times New Roman" w:cs="Times New Roman"/>
          <w:sz w:val="28"/>
          <w:szCs w:val="28"/>
        </w:rPr>
        <w:t>8</w:t>
      </w:r>
      <w:r w:rsidR="00D53900" w:rsidRPr="00570EE9">
        <w:rPr>
          <w:rFonts w:ascii="Times New Roman" w:hAnsi="Times New Roman" w:cs="Times New Roman"/>
          <w:sz w:val="28"/>
          <w:szCs w:val="28"/>
        </w:rPr>
        <w:t>)</w:t>
      </w:r>
      <w:r w:rsidRPr="00570EE9">
        <w:rPr>
          <w:rFonts w:ascii="Times New Roman" w:hAnsi="Times New Roman"/>
          <w:sz w:val="28"/>
          <w:szCs w:val="28"/>
        </w:rPr>
        <w:t>. 2018.gada aptaujā tika prognozēts, ka 2018. gadā kopējais būvniecības apjoms projektiem ar ES struktūrfondu finansējumu būs</w:t>
      </w:r>
      <w:r w:rsidR="00AA1F37" w:rsidRPr="00570EE9">
        <w:rPr>
          <w:rFonts w:ascii="Times New Roman" w:hAnsi="Times New Roman"/>
          <w:sz w:val="28"/>
          <w:szCs w:val="28"/>
        </w:rPr>
        <w:t xml:space="preserve"> </w:t>
      </w:r>
      <w:r w:rsidRPr="00570EE9">
        <w:rPr>
          <w:rFonts w:ascii="Times New Roman" w:hAnsi="Times New Roman"/>
          <w:sz w:val="28"/>
          <w:szCs w:val="28"/>
        </w:rPr>
        <w:t xml:space="preserve">1100 milj. </w:t>
      </w:r>
      <w:r w:rsidRPr="00570EE9">
        <w:rPr>
          <w:rFonts w:ascii="Times New Roman" w:hAnsi="Times New Roman"/>
          <w:i/>
          <w:iCs/>
          <w:sz w:val="28"/>
          <w:szCs w:val="28"/>
        </w:rPr>
        <w:t>euro</w:t>
      </w:r>
      <w:r w:rsidRPr="00570EE9">
        <w:rPr>
          <w:rFonts w:ascii="Times New Roman" w:hAnsi="Times New Roman"/>
          <w:sz w:val="28"/>
          <w:szCs w:val="28"/>
        </w:rPr>
        <w:t xml:space="preserve"> un 2019.gadā 831 milj. </w:t>
      </w:r>
      <w:r w:rsidRPr="00570EE9">
        <w:rPr>
          <w:rFonts w:ascii="Times New Roman" w:hAnsi="Times New Roman"/>
          <w:i/>
          <w:iCs/>
          <w:sz w:val="28"/>
          <w:szCs w:val="28"/>
        </w:rPr>
        <w:t>euro</w:t>
      </w:r>
      <w:r w:rsidRPr="00570EE9">
        <w:rPr>
          <w:rFonts w:ascii="Times New Roman" w:hAnsi="Times New Roman"/>
          <w:sz w:val="28"/>
          <w:szCs w:val="28"/>
        </w:rPr>
        <w:t>, bet 2019.gada aptaujā tika kon</w:t>
      </w:r>
      <w:r w:rsidR="00ED032A" w:rsidRPr="00570EE9">
        <w:rPr>
          <w:rFonts w:ascii="Times New Roman" w:hAnsi="Times New Roman"/>
          <w:sz w:val="28"/>
          <w:szCs w:val="28"/>
        </w:rPr>
        <w:t>s</w:t>
      </w:r>
      <w:r w:rsidRPr="00570EE9">
        <w:rPr>
          <w:rFonts w:ascii="Times New Roman" w:hAnsi="Times New Roman"/>
          <w:sz w:val="28"/>
          <w:szCs w:val="28"/>
        </w:rPr>
        <w:t xml:space="preserve">tatēts, ka 2018.gadā no prognozētā apjoma netika apgūti 269 milj. </w:t>
      </w:r>
      <w:r w:rsidRPr="00570EE9">
        <w:rPr>
          <w:rFonts w:ascii="Times New Roman" w:hAnsi="Times New Roman"/>
          <w:i/>
          <w:iCs/>
          <w:sz w:val="28"/>
          <w:szCs w:val="28"/>
        </w:rPr>
        <w:t>euro</w:t>
      </w:r>
      <w:r w:rsidRPr="00570EE9">
        <w:rPr>
          <w:rFonts w:ascii="Times New Roman" w:hAnsi="Times New Roman"/>
          <w:sz w:val="28"/>
          <w:szCs w:val="28"/>
        </w:rPr>
        <w:t xml:space="preserve">, kuri, gandrīz pilnā apmērā (263 milj. </w:t>
      </w:r>
      <w:r w:rsidRPr="00570EE9">
        <w:rPr>
          <w:rFonts w:ascii="Times New Roman" w:hAnsi="Times New Roman"/>
          <w:i/>
          <w:iCs/>
          <w:sz w:val="28"/>
          <w:szCs w:val="28"/>
        </w:rPr>
        <w:t>euro</w:t>
      </w:r>
      <w:r w:rsidRPr="00570EE9">
        <w:rPr>
          <w:rFonts w:ascii="Times New Roman" w:hAnsi="Times New Roman"/>
          <w:sz w:val="28"/>
          <w:szCs w:val="28"/>
        </w:rPr>
        <w:t>) tika pārcelti uz 2019.gadu</w:t>
      </w:r>
      <w:r w:rsidR="00E4753F" w:rsidRPr="00570EE9">
        <w:rPr>
          <w:rFonts w:ascii="Times New Roman" w:hAnsi="Times New Roman"/>
          <w:sz w:val="28"/>
          <w:szCs w:val="28"/>
        </w:rPr>
        <w:t>.</w:t>
      </w:r>
      <w:r w:rsidRPr="00570EE9">
        <w:rPr>
          <w:rFonts w:ascii="Times New Roman" w:hAnsi="Times New Roman"/>
          <w:sz w:val="28"/>
          <w:szCs w:val="28"/>
        </w:rPr>
        <w:t xml:space="preserve"> </w:t>
      </w:r>
    </w:p>
    <w:p w14:paraId="73BE67C2" w14:textId="0B67F378" w:rsidR="00994907" w:rsidRPr="001700A5" w:rsidRDefault="00994907" w:rsidP="005A011F">
      <w:pPr>
        <w:spacing w:after="0" w:line="240" w:lineRule="auto"/>
        <w:rPr>
          <w:rFonts w:ascii="Times New Roman" w:hAnsi="Times New Roman"/>
          <w:sz w:val="16"/>
          <w:szCs w:val="16"/>
        </w:rPr>
      </w:pPr>
    </w:p>
    <w:p w14:paraId="376195DA" w14:textId="6E59A2F1" w:rsidR="00484B85" w:rsidRPr="00DA60BD" w:rsidRDefault="00484B85" w:rsidP="005A011F">
      <w:pPr>
        <w:suppressAutoHyphens/>
        <w:spacing w:after="0" w:line="240" w:lineRule="auto"/>
        <w:jc w:val="center"/>
        <w:rPr>
          <w:rFonts w:ascii="Times New Roman" w:hAnsi="Times New Roman"/>
          <w:b/>
          <w:i/>
          <w:iCs/>
          <w:sz w:val="28"/>
          <w:szCs w:val="28"/>
        </w:rPr>
      </w:pPr>
      <w:r w:rsidRPr="00DA60BD">
        <w:rPr>
          <w:rFonts w:ascii="Times New Roman" w:hAnsi="Times New Roman"/>
          <w:b/>
          <w:i/>
          <w:iCs/>
          <w:sz w:val="28"/>
          <w:szCs w:val="28"/>
        </w:rPr>
        <w:t>Attēls. Nr.</w:t>
      </w:r>
      <w:r w:rsidR="00220277" w:rsidRPr="00DA60BD">
        <w:rPr>
          <w:rFonts w:ascii="Times New Roman" w:hAnsi="Times New Roman"/>
          <w:b/>
          <w:i/>
          <w:iCs/>
          <w:sz w:val="28"/>
          <w:szCs w:val="28"/>
        </w:rPr>
        <w:t>1</w:t>
      </w:r>
      <w:r w:rsidR="002729B2">
        <w:rPr>
          <w:rFonts w:ascii="Times New Roman" w:hAnsi="Times New Roman"/>
          <w:b/>
          <w:i/>
          <w:iCs/>
          <w:sz w:val="28"/>
          <w:szCs w:val="28"/>
        </w:rPr>
        <w:t>8</w:t>
      </w:r>
      <w:r w:rsidR="00994907" w:rsidRPr="00DA60BD">
        <w:rPr>
          <w:rFonts w:ascii="Times New Roman" w:hAnsi="Times New Roman"/>
          <w:b/>
          <w:i/>
          <w:iCs/>
          <w:sz w:val="28"/>
          <w:szCs w:val="28"/>
        </w:rPr>
        <w:t>.</w:t>
      </w:r>
      <w:r w:rsidRPr="00DA60BD">
        <w:rPr>
          <w:rFonts w:ascii="Times New Roman" w:hAnsi="Times New Roman"/>
          <w:b/>
          <w:i/>
          <w:iCs/>
          <w:sz w:val="28"/>
          <w:szCs w:val="28"/>
        </w:rPr>
        <w:t xml:space="preserve"> Publisko būvniecības ieceru 2018.gada un 2019.gada aptauju rezultātu salīdzinājums projektiem ar ES struktūrfondu finansējumu.</w:t>
      </w:r>
    </w:p>
    <w:p w14:paraId="6D497F52" w14:textId="77777777" w:rsidR="00484B85" w:rsidRPr="00B64BBC" w:rsidRDefault="00484B85" w:rsidP="00B64BBC">
      <w:pPr>
        <w:suppressAutoHyphens/>
        <w:spacing w:after="0"/>
        <w:rPr>
          <w:rFonts w:ascii="Times New Roman" w:hAnsi="Times New Roman"/>
          <w:sz w:val="28"/>
          <w:szCs w:val="28"/>
        </w:rPr>
      </w:pPr>
      <w:r w:rsidRPr="00B64BBC">
        <w:rPr>
          <w:rFonts w:ascii="Times New Roman" w:hAnsi="Times New Roman"/>
          <w:noProof/>
        </w:rPr>
        <w:drawing>
          <wp:inline distT="0" distB="0" distL="0" distR="0" wp14:anchorId="78B34A25" wp14:editId="26CA4609">
            <wp:extent cx="5762625" cy="3524250"/>
            <wp:effectExtent l="0" t="0" r="9525" b="0"/>
            <wp:docPr id="18" name="Chart 18">
              <a:extLst xmlns:a="http://schemas.openxmlformats.org/drawingml/2006/main">
                <a:ext uri="{FF2B5EF4-FFF2-40B4-BE49-F238E27FC236}">
                  <a16:creationId xmlns:a16="http://schemas.microsoft.com/office/drawing/2014/main" id="{E2F56DBD-F95A-42C5-B7AD-C00F73D8F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C6DA8DA" w14:textId="77777777" w:rsidR="00484B85" w:rsidRPr="00570EE9" w:rsidRDefault="00484B85" w:rsidP="00B64BBC">
      <w:pPr>
        <w:suppressAutoHyphens/>
        <w:jc w:val="both"/>
        <w:rPr>
          <w:rFonts w:ascii="Times New Roman" w:hAnsi="Times New Roman"/>
          <w:sz w:val="20"/>
          <w:szCs w:val="20"/>
        </w:rPr>
      </w:pPr>
      <w:r w:rsidRPr="00570EE9">
        <w:rPr>
          <w:rFonts w:ascii="Times New Roman" w:hAnsi="Times New Roman"/>
          <w:sz w:val="20"/>
          <w:szCs w:val="20"/>
        </w:rPr>
        <w:t xml:space="preserve">Avots: Ekonomikas ministrijas apkopotie dati </w:t>
      </w:r>
    </w:p>
    <w:p w14:paraId="0C88EFB0" w14:textId="1A3D2545" w:rsidR="00484B85" w:rsidRPr="00570EE9" w:rsidRDefault="00484B85" w:rsidP="00ED032A">
      <w:pPr>
        <w:suppressAutoHyphens/>
        <w:spacing w:after="0"/>
        <w:ind w:firstLine="720"/>
        <w:jc w:val="both"/>
        <w:rPr>
          <w:rFonts w:ascii="Times New Roman" w:hAnsi="Times New Roman"/>
          <w:sz w:val="28"/>
          <w:szCs w:val="28"/>
        </w:rPr>
      </w:pPr>
      <w:r w:rsidRPr="00570EE9">
        <w:rPr>
          <w:rFonts w:ascii="Times New Roman" w:hAnsi="Times New Roman"/>
          <w:sz w:val="28"/>
          <w:szCs w:val="28"/>
        </w:rPr>
        <w:t xml:space="preserve">Ņemot vērā minēto, var prognozēt, ka 2020. gadā būvniecības projektiem ar ES struktūrfondu finansējumu nebūs kritums par 238 milj. </w:t>
      </w:r>
      <w:r w:rsidRPr="00570EE9">
        <w:rPr>
          <w:rFonts w:ascii="Times New Roman" w:hAnsi="Times New Roman"/>
          <w:i/>
          <w:iCs/>
          <w:sz w:val="28"/>
          <w:szCs w:val="28"/>
        </w:rPr>
        <w:t>euro</w:t>
      </w:r>
      <w:r w:rsidRPr="00570EE9">
        <w:rPr>
          <w:rFonts w:ascii="Times New Roman" w:hAnsi="Times New Roman"/>
          <w:sz w:val="28"/>
          <w:szCs w:val="28"/>
        </w:rPr>
        <w:t>, bet daļa 2019.gadā paredzētā būvniecības apjoma netiks izpildīta un tiks pārcelta uz 2020.gadu.</w:t>
      </w:r>
    </w:p>
    <w:p w14:paraId="7C5FE25D" w14:textId="080848D6" w:rsidR="00484B85" w:rsidRPr="00570EE9" w:rsidRDefault="00484B85" w:rsidP="00ED032A">
      <w:pPr>
        <w:suppressAutoHyphens/>
        <w:spacing w:after="0"/>
        <w:ind w:firstLine="720"/>
        <w:jc w:val="both"/>
        <w:rPr>
          <w:rFonts w:ascii="Times New Roman" w:hAnsi="Times New Roman"/>
          <w:sz w:val="28"/>
          <w:szCs w:val="28"/>
        </w:rPr>
      </w:pPr>
      <w:r w:rsidRPr="00570EE9">
        <w:rPr>
          <w:rFonts w:ascii="Times New Roman" w:hAnsi="Times New Roman"/>
          <w:sz w:val="28"/>
          <w:szCs w:val="28"/>
        </w:rPr>
        <w:t xml:space="preserve">Pārējie </w:t>
      </w:r>
      <w:r w:rsidR="00E4753F" w:rsidRPr="00570EE9">
        <w:rPr>
          <w:rFonts w:ascii="Times New Roman" w:hAnsi="Times New Roman"/>
          <w:sz w:val="28"/>
          <w:szCs w:val="28"/>
        </w:rPr>
        <w:t>a</w:t>
      </w:r>
      <w:r w:rsidRPr="00570EE9">
        <w:rPr>
          <w:rFonts w:ascii="Times New Roman" w:hAnsi="Times New Roman"/>
          <w:sz w:val="28"/>
          <w:szCs w:val="28"/>
        </w:rPr>
        <w:t>pstiprinātie projekti (bez ES struktūrfondu finansējuma)</w:t>
      </w:r>
      <w:r w:rsidR="00570EE9">
        <w:rPr>
          <w:rFonts w:ascii="Times New Roman" w:hAnsi="Times New Roman"/>
          <w:sz w:val="28"/>
          <w:szCs w:val="28"/>
        </w:rPr>
        <w:t>,</w:t>
      </w:r>
      <w:r w:rsidRPr="00570EE9">
        <w:rPr>
          <w:rFonts w:ascii="Times New Roman" w:hAnsi="Times New Roman"/>
          <w:sz w:val="28"/>
          <w:szCs w:val="28"/>
        </w:rPr>
        <w:t xml:space="preserve"> neņemot vērā </w:t>
      </w:r>
      <w:r w:rsidR="00E4753F" w:rsidRPr="00570EE9">
        <w:rPr>
          <w:rFonts w:ascii="Times New Roman" w:hAnsi="Times New Roman"/>
          <w:sz w:val="28"/>
          <w:szCs w:val="28"/>
        </w:rPr>
        <w:t>i</w:t>
      </w:r>
      <w:r w:rsidRPr="00570EE9">
        <w:rPr>
          <w:rFonts w:ascii="Times New Roman" w:hAnsi="Times New Roman"/>
          <w:sz w:val="28"/>
          <w:szCs w:val="28"/>
        </w:rPr>
        <w:t>ecer</w:t>
      </w:r>
      <w:r w:rsidR="00ED032A" w:rsidRPr="00570EE9">
        <w:rPr>
          <w:rFonts w:ascii="Times New Roman" w:hAnsi="Times New Roman"/>
          <w:sz w:val="28"/>
          <w:szCs w:val="28"/>
        </w:rPr>
        <w:t>e</w:t>
      </w:r>
      <w:r w:rsidRPr="00570EE9">
        <w:rPr>
          <w:rFonts w:ascii="Times New Roman" w:hAnsi="Times New Roman"/>
          <w:sz w:val="28"/>
          <w:szCs w:val="28"/>
        </w:rPr>
        <w:t>s</w:t>
      </w:r>
      <w:r w:rsidR="00570EE9">
        <w:rPr>
          <w:rFonts w:ascii="Times New Roman" w:hAnsi="Times New Roman"/>
          <w:sz w:val="28"/>
          <w:szCs w:val="28"/>
        </w:rPr>
        <w:t>,</w:t>
      </w:r>
      <w:r w:rsidRPr="00570EE9">
        <w:rPr>
          <w:rFonts w:ascii="Times New Roman" w:hAnsi="Times New Roman"/>
          <w:sz w:val="28"/>
          <w:szCs w:val="28"/>
        </w:rPr>
        <w:t xml:space="preserve"> 2019.gadā </w:t>
      </w:r>
      <w:r w:rsidR="00570EE9">
        <w:rPr>
          <w:rFonts w:ascii="Times New Roman" w:hAnsi="Times New Roman"/>
          <w:sz w:val="28"/>
          <w:szCs w:val="28"/>
        </w:rPr>
        <w:t xml:space="preserve">apjoms </w:t>
      </w:r>
      <w:r w:rsidRPr="00570EE9">
        <w:rPr>
          <w:rFonts w:ascii="Times New Roman" w:hAnsi="Times New Roman"/>
          <w:sz w:val="28"/>
          <w:szCs w:val="28"/>
        </w:rPr>
        <w:t>ir pieau</w:t>
      </w:r>
      <w:r w:rsidR="00570EE9">
        <w:rPr>
          <w:rFonts w:ascii="Times New Roman" w:hAnsi="Times New Roman"/>
          <w:sz w:val="28"/>
          <w:szCs w:val="28"/>
        </w:rPr>
        <w:t>dzis</w:t>
      </w:r>
      <w:r w:rsidRPr="00570EE9">
        <w:rPr>
          <w:rFonts w:ascii="Times New Roman" w:hAnsi="Times New Roman"/>
          <w:sz w:val="28"/>
          <w:szCs w:val="28"/>
        </w:rPr>
        <w:t xml:space="preserve"> par 103 milj. </w:t>
      </w:r>
      <w:r w:rsidRPr="00570EE9">
        <w:rPr>
          <w:rFonts w:ascii="Times New Roman" w:hAnsi="Times New Roman"/>
          <w:i/>
          <w:iCs/>
          <w:sz w:val="28"/>
          <w:szCs w:val="28"/>
        </w:rPr>
        <w:t>euro</w:t>
      </w:r>
      <w:r w:rsidRPr="00570EE9">
        <w:rPr>
          <w:rFonts w:ascii="Times New Roman" w:hAnsi="Times New Roman"/>
          <w:sz w:val="28"/>
          <w:szCs w:val="28"/>
        </w:rPr>
        <w:t xml:space="preserve"> jeb 20% salīdzinot ar 2018.gadu </w:t>
      </w:r>
      <w:r w:rsidR="00D53900" w:rsidRPr="00570EE9">
        <w:rPr>
          <w:rFonts w:ascii="Times New Roman" w:hAnsi="Times New Roman" w:cs="Times New Roman"/>
          <w:sz w:val="28"/>
          <w:szCs w:val="28"/>
        </w:rPr>
        <w:t>(skatīt attēlu Nr.</w:t>
      </w:r>
      <w:r w:rsidR="00220277">
        <w:rPr>
          <w:rFonts w:ascii="Times New Roman" w:hAnsi="Times New Roman" w:cs="Times New Roman"/>
          <w:sz w:val="28"/>
          <w:szCs w:val="28"/>
        </w:rPr>
        <w:t>1</w:t>
      </w:r>
      <w:r w:rsidR="002729B2">
        <w:rPr>
          <w:rFonts w:ascii="Times New Roman" w:hAnsi="Times New Roman" w:cs="Times New Roman"/>
          <w:sz w:val="28"/>
          <w:szCs w:val="28"/>
        </w:rPr>
        <w:t>9</w:t>
      </w:r>
      <w:r w:rsidRPr="00570EE9">
        <w:rPr>
          <w:rFonts w:ascii="Times New Roman" w:hAnsi="Times New Roman"/>
          <w:sz w:val="28"/>
          <w:szCs w:val="28"/>
        </w:rPr>
        <w:t xml:space="preserve">). Grafikā redzams, ka pēc 2020.gada </w:t>
      </w:r>
      <w:r w:rsidR="00570EE9">
        <w:rPr>
          <w:rFonts w:ascii="Times New Roman" w:hAnsi="Times New Roman"/>
          <w:sz w:val="28"/>
          <w:szCs w:val="28"/>
        </w:rPr>
        <w:t>a</w:t>
      </w:r>
      <w:r w:rsidRPr="00570EE9">
        <w:rPr>
          <w:rFonts w:ascii="Times New Roman" w:hAnsi="Times New Roman"/>
          <w:sz w:val="28"/>
          <w:szCs w:val="28"/>
        </w:rPr>
        <w:t xml:space="preserve">pstiprinātiem projektiem bez ES struktūrfondu finansējuma apjoms katru gadu samazinās, bet </w:t>
      </w:r>
      <w:r w:rsidR="00570EE9">
        <w:rPr>
          <w:rFonts w:ascii="Times New Roman" w:hAnsi="Times New Roman"/>
          <w:sz w:val="28"/>
          <w:szCs w:val="28"/>
        </w:rPr>
        <w:t>i</w:t>
      </w:r>
      <w:r w:rsidRPr="00570EE9">
        <w:rPr>
          <w:rFonts w:ascii="Times New Roman" w:hAnsi="Times New Roman"/>
          <w:sz w:val="28"/>
          <w:szCs w:val="28"/>
        </w:rPr>
        <w:t xml:space="preserve">ecerēm tieši pieaug. Šādas izmaiņas rada tas, ka vairākām </w:t>
      </w:r>
      <w:r w:rsidR="00570EE9">
        <w:rPr>
          <w:rFonts w:ascii="Times New Roman" w:hAnsi="Times New Roman"/>
          <w:sz w:val="28"/>
          <w:szCs w:val="28"/>
        </w:rPr>
        <w:lastRenderedPageBreak/>
        <w:t>i</w:t>
      </w:r>
      <w:r w:rsidRPr="00570EE9">
        <w:rPr>
          <w:rFonts w:ascii="Times New Roman" w:hAnsi="Times New Roman"/>
          <w:sz w:val="28"/>
          <w:szCs w:val="28"/>
        </w:rPr>
        <w:t xml:space="preserve">ecerēm, kurām ir ļoti augsta īstenošanas iespējamība, vēl nav apstiprināts finansējums, līdz ar to šie projekti aptaujā tika norādi kā </w:t>
      </w:r>
      <w:r w:rsidR="00570EE9">
        <w:rPr>
          <w:rFonts w:ascii="Times New Roman" w:hAnsi="Times New Roman"/>
          <w:sz w:val="28"/>
          <w:szCs w:val="28"/>
        </w:rPr>
        <w:t>i</w:t>
      </w:r>
      <w:r w:rsidRPr="00570EE9">
        <w:rPr>
          <w:rFonts w:ascii="Times New Roman" w:hAnsi="Times New Roman"/>
          <w:sz w:val="28"/>
          <w:szCs w:val="28"/>
        </w:rPr>
        <w:t xml:space="preserve">eceres. </w:t>
      </w:r>
    </w:p>
    <w:p w14:paraId="015DD3AE" w14:textId="77777777" w:rsidR="00484B85" w:rsidRPr="001700A5" w:rsidRDefault="00484B85" w:rsidP="00B64BBC">
      <w:pPr>
        <w:suppressAutoHyphens/>
        <w:spacing w:after="0"/>
        <w:rPr>
          <w:rFonts w:ascii="Times New Roman" w:hAnsi="Times New Roman"/>
          <w:sz w:val="18"/>
          <w:szCs w:val="18"/>
        </w:rPr>
      </w:pPr>
    </w:p>
    <w:p w14:paraId="0C48D45A" w14:textId="5345870B" w:rsidR="00484B85" w:rsidRPr="002729B2" w:rsidRDefault="00D53900" w:rsidP="002729B2">
      <w:pPr>
        <w:suppressAutoHyphens/>
        <w:spacing w:after="0"/>
        <w:jc w:val="center"/>
        <w:rPr>
          <w:rFonts w:ascii="Times New Roman" w:hAnsi="Times New Roman"/>
          <w:b/>
          <w:i/>
          <w:iCs/>
          <w:sz w:val="28"/>
          <w:szCs w:val="28"/>
        </w:rPr>
      </w:pPr>
      <w:r w:rsidRPr="002729B2">
        <w:rPr>
          <w:rFonts w:ascii="Times New Roman" w:hAnsi="Times New Roman"/>
          <w:b/>
          <w:i/>
          <w:iCs/>
          <w:sz w:val="28"/>
          <w:szCs w:val="28"/>
        </w:rPr>
        <w:t>Attēls. Nr.</w:t>
      </w:r>
      <w:r w:rsidR="00220277" w:rsidRPr="002729B2">
        <w:rPr>
          <w:rFonts w:ascii="Times New Roman" w:hAnsi="Times New Roman"/>
          <w:b/>
          <w:i/>
          <w:iCs/>
          <w:sz w:val="28"/>
          <w:szCs w:val="28"/>
        </w:rPr>
        <w:t>1</w:t>
      </w:r>
      <w:r w:rsidR="002729B2" w:rsidRPr="002729B2">
        <w:rPr>
          <w:rFonts w:ascii="Times New Roman" w:hAnsi="Times New Roman"/>
          <w:b/>
          <w:i/>
          <w:iCs/>
          <w:sz w:val="28"/>
          <w:szCs w:val="28"/>
        </w:rPr>
        <w:t>9</w:t>
      </w:r>
      <w:r w:rsidR="00994907" w:rsidRPr="002729B2">
        <w:rPr>
          <w:rFonts w:ascii="Times New Roman" w:hAnsi="Times New Roman"/>
          <w:b/>
          <w:i/>
          <w:iCs/>
          <w:sz w:val="28"/>
          <w:szCs w:val="28"/>
        </w:rPr>
        <w:t>.</w:t>
      </w:r>
      <w:r w:rsidRPr="002729B2">
        <w:rPr>
          <w:rFonts w:ascii="Times New Roman" w:hAnsi="Times New Roman"/>
          <w:b/>
          <w:i/>
          <w:iCs/>
          <w:sz w:val="28"/>
          <w:szCs w:val="28"/>
        </w:rPr>
        <w:t xml:space="preserve"> </w:t>
      </w:r>
      <w:r w:rsidR="00484B85" w:rsidRPr="002729B2">
        <w:rPr>
          <w:rFonts w:ascii="Times New Roman" w:hAnsi="Times New Roman"/>
          <w:b/>
          <w:i/>
          <w:iCs/>
          <w:sz w:val="28"/>
          <w:szCs w:val="28"/>
        </w:rPr>
        <w:t>Apstiprināto projektu un Ieceru būvdarbu apjoms milj. euro.</w:t>
      </w:r>
    </w:p>
    <w:p w14:paraId="46F779CD" w14:textId="65D98409" w:rsidR="00D97189" w:rsidRDefault="00214174" w:rsidP="00994907">
      <w:pPr>
        <w:suppressAutoHyphens/>
        <w:rPr>
          <w:rFonts w:ascii="Times New Roman" w:hAnsi="Times New Roman"/>
          <w:sz w:val="28"/>
          <w:szCs w:val="28"/>
        </w:rPr>
      </w:pPr>
      <w:r>
        <w:rPr>
          <w:noProof/>
        </w:rPr>
        <w:drawing>
          <wp:inline distT="0" distB="0" distL="0" distR="0" wp14:anchorId="64AB374B" wp14:editId="684FBA00">
            <wp:extent cx="5760085" cy="4781550"/>
            <wp:effectExtent l="0" t="0" r="12065" b="0"/>
            <wp:docPr id="12" name="Chart 12">
              <a:extLst xmlns:a="http://schemas.openxmlformats.org/drawingml/2006/main">
                <a:ext uri="{FF2B5EF4-FFF2-40B4-BE49-F238E27FC236}">
                  <a16:creationId xmlns:a16="http://schemas.microsoft.com/office/drawing/2014/main" id="{B2387E34-AFBA-4C85-9394-7CDF2E0889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60CEF9" w14:textId="078E64C6" w:rsidR="00285E4A" w:rsidRPr="00570EE9" w:rsidRDefault="00285E4A" w:rsidP="00B64BBC">
      <w:pPr>
        <w:suppressAutoHyphens/>
        <w:jc w:val="both"/>
        <w:rPr>
          <w:rFonts w:ascii="Times New Roman" w:hAnsi="Times New Roman"/>
          <w:sz w:val="20"/>
          <w:szCs w:val="20"/>
        </w:rPr>
      </w:pPr>
      <w:r w:rsidRPr="00570EE9">
        <w:rPr>
          <w:rFonts w:ascii="Times New Roman" w:hAnsi="Times New Roman"/>
          <w:sz w:val="20"/>
          <w:szCs w:val="20"/>
        </w:rPr>
        <w:t xml:space="preserve">Avots: Ekonomikas ministrijas apkopotie dati </w:t>
      </w:r>
    </w:p>
    <w:p w14:paraId="768A988D" w14:textId="01763C06" w:rsidR="00484B85" w:rsidRDefault="00484B85" w:rsidP="00ED032A">
      <w:pPr>
        <w:suppressAutoHyphens/>
        <w:spacing w:after="0"/>
        <w:ind w:firstLine="720"/>
        <w:jc w:val="both"/>
        <w:rPr>
          <w:rFonts w:ascii="Times New Roman" w:hAnsi="Times New Roman"/>
          <w:sz w:val="28"/>
          <w:szCs w:val="28"/>
        </w:rPr>
      </w:pPr>
      <w:r w:rsidRPr="00570EE9">
        <w:rPr>
          <w:rFonts w:ascii="Times New Roman" w:hAnsi="Times New Roman"/>
          <w:sz w:val="28"/>
          <w:szCs w:val="28"/>
        </w:rPr>
        <w:t xml:space="preserve">Ņemot vērā arī šādu </w:t>
      </w:r>
      <w:r w:rsidR="00570EE9">
        <w:rPr>
          <w:rFonts w:ascii="Times New Roman" w:hAnsi="Times New Roman"/>
          <w:sz w:val="28"/>
          <w:szCs w:val="28"/>
        </w:rPr>
        <w:t>i</w:t>
      </w:r>
      <w:r w:rsidRPr="00570EE9">
        <w:rPr>
          <w:rFonts w:ascii="Times New Roman" w:hAnsi="Times New Roman"/>
          <w:sz w:val="28"/>
          <w:szCs w:val="28"/>
        </w:rPr>
        <w:t xml:space="preserve">eceru naudas plūsmu pa gadiem, projektiem bez ES struktūrfondu finansējuma apjoms vienmērīgi pieaug no 436 milj. </w:t>
      </w:r>
      <w:r w:rsidRPr="00570EE9">
        <w:rPr>
          <w:rFonts w:ascii="Times New Roman" w:hAnsi="Times New Roman"/>
          <w:i/>
          <w:iCs/>
          <w:sz w:val="28"/>
          <w:szCs w:val="28"/>
        </w:rPr>
        <w:t>euro</w:t>
      </w:r>
      <w:r w:rsidRPr="00570EE9">
        <w:rPr>
          <w:rFonts w:ascii="Times New Roman" w:hAnsi="Times New Roman"/>
          <w:sz w:val="28"/>
          <w:szCs w:val="28"/>
        </w:rPr>
        <w:t xml:space="preserve"> 2017.gadā līdz 910 milj. </w:t>
      </w:r>
      <w:r w:rsidRPr="00570EE9">
        <w:rPr>
          <w:rFonts w:ascii="Times New Roman" w:hAnsi="Times New Roman"/>
          <w:i/>
          <w:iCs/>
          <w:sz w:val="28"/>
          <w:szCs w:val="28"/>
        </w:rPr>
        <w:t>euro</w:t>
      </w:r>
      <w:r w:rsidRPr="00570EE9">
        <w:rPr>
          <w:rFonts w:ascii="Times New Roman" w:hAnsi="Times New Roman"/>
          <w:sz w:val="28"/>
          <w:szCs w:val="28"/>
        </w:rPr>
        <w:t xml:space="preserve"> 2021.gadā, katru gadu vidēji pieaugot par 21%.</w:t>
      </w:r>
    </w:p>
    <w:p w14:paraId="569248B4" w14:textId="085C4848" w:rsidR="00634CD6" w:rsidRDefault="006E7378" w:rsidP="005A011F">
      <w:pPr>
        <w:spacing w:after="0"/>
        <w:ind w:firstLine="720"/>
        <w:jc w:val="both"/>
        <w:rPr>
          <w:rFonts w:ascii="Times New Roman" w:hAnsi="Times New Roman" w:cs="Times New Roman"/>
          <w:sz w:val="28"/>
          <w:szCs w:val="28"/>
        </w:rPr>
      </w:pPr>
      <w:r>
        <w:rPr>
          <w:rFonts w:ascii="Times New Roman" w:hAnsi="Times New Roman" w:cs="Times New Roman"/>
          <w:sz w:val="28"/>
          <w:szCs w:val="28"/>
        </w:rPr>
        <w:t>P</w:t>
      </w:r>
      <w:r w:rsidRPr="006E7378">
        <w:rPr>
          <w:rFonts w:ascii="Times New Roman" w:hAnsi="Times New Roman" w:cs="Times New Roman"/>
          <w:sz w:val="28"/>
          <w:szCs w:val="28"/>
        </w:rPr>
        <w:t xml:space="preserve">ublisko iepirkumu būvniecības apjomam ir būtiska ietekme uz būvniecības nozari tā īpatsvara dēļ. </w:t>
      </w:r>
      <w:r>
        <w:rPr>
          <w:rFonts w:ascii="Times New Roman" w:hAnsi="Times New Roman" w:cs="Times New Roman"/>
          <w:sz w:val="28"/>
          <w:szCs w:val="28"/>
        </w:rPr>
        <w:t>B</w:t>
      </w:r>
      <w:r w:rsidRPr="002B09AF">
        <w:rPr>
          <w:rFonts w:ascii="Times New Roman" w:hAnsi="Times New Roman" w:cs="Times New Roman"/>
          <w:sz w:val="28"/>
          <w:szCs w:val="28"/>
        </w:rPr>
        <w:t xml:space="preserve">ūtisks būvniecības projektu apjoms netiek īstenots plānotajā termiņā, kas ievērojami var paaugstināt būvniecības izmaksas. </w:t>
      </w:r>
      <w:r w:rsidRPr="006E7378">
        <w:rPr>
          <w:rFonts w:ascii="Times New Roman" w:hAnsi="Times New Roman" w:cs="Times New Roman"/>
          <w:sz w:val="28"/>
          <w:szCs w:val="28"/>
        </w:rPr>
        <w:t>Publisko iepirkumu būvniecības apjomam prognozējams risks būtiski samazināties pēc 2021. gada, ja apjoma dinamika būs līdzīga, kā iepriekšējā ES fondu plānošanas periodā pēc 2014.gada un ES fondu līdzfinansēto projektu apjoma kritums netiks aizvietots ar valsts, pašvaldību, privātā sektora projektiem un jaunā ES fondu plānošanas perioda savlaicīgi uzsāktiem projektiem</w:t>
      </w:r>
      <w:r>
        <w:rPr>
          <w:rFonts w:ascii="Times New Roman" w:hAnsi="Times New Roman" w:cs="Times New Roman"/>
          <w:sz w:val="28"/>
          <w:szCs w:val="28"/>
        </w:rPr>
        <w:t>.</w:t>
      </w:r>
      <w:r w:rsidR="00634CD6">
        <w:rPr>
          <w:rFonts w:ascii="Times New Roman" w:hAnsi="Times New Roman" w:cs="Times New Roman"/>
          <w:sz w:val="28"/>
          <w:szCs w:val="28"/>
        </w:rPr>
        <w:br w:type="page"/>
      </w:r>
    </w:p>
    <w:p w14:paraId="293F090F" w14:textId="05C89F12" w:rsidR="00634CD6" w:rsidRPr="00402A5C" w:rsidRDefault="000830E6" w:rsidP="000830E6">
      <w:pPr>
        <w:pStyle w:val="Heading1"/>
        <w:jc w:val="both"/>
        <w:rPr>
          <w:color w:val="1F3864" w:themeColor="accent1" w:themeShade="80"/>
          <w:sz w:val="28"/>
          <w:szCs w:val="28"/>
        </w:rPr>
      </w:pPr>
      <w:bookmarkStart w:id="28" w:name="_Toc15480942"/>
      <w:r w:rsidRPr="00402A5C">
        <w:rPr>
          <w:rFonts w:cs="Times New Roman"/>
          <w:color w:val="auto"/>
          <w:sz w:val="28"/>
          <w:szCs w:val="28"/>
        </w:rPr>
        <w:lastRenderedPageBreak/>
        <w:t>Pielikums Nr.1.</w:t>
      </w:r>
      <w:r w:rsidRPr="00402A5C">
        <w:rPr>
          <w:rFonts w:cs="Times New Roman"/>
          <w:b w:val="0"/>
          <w:color w:val="auto"/>
          <w:sz w:val="28"/>
          <w:szCs w:val="28"/>
        </w:rPr>
        <w:t xml:space="preserve"> </w:t>
      </w:r>
      <w:r w:rsidR="00634CD6" w:rsidRPr="00402A5C">
        <w:rPr>
          <w:color w:val="2F5496" w:themeColor="accent1" w:themeShade="BF"/>
          <w:sz w:val="28"/>
          <w:szCs w:val="28"/>
          <w:shd w:val="clear" w:color="auto" w:fill="FFFFFF"/>
        </w:rPr>
        <w:t>Pētījumā “</w:t>
      </w:r>
      <w:r w:rsidR="00634CD6" w:rsidRPr="00402A5C">
        <w:rPr>
          <w:color w:val="2F5496" w:themeColor="accent1" w:themeShade="BF"/>
          <w:sz w:val="28"/>
          <w:szCs w:val="28"/>
        </w:rPr>
        <w:t xml:space="preserve">Par prognozētām izmaiņām darbaspēka un būvmateriālu izmaksās būvniecības nozarē Latvijā” </w:t>
      </w:r>
      <w:r w:rsidRPr="00402A5C">
        <w:rPr>
          <w:color w:val="2F5496" w:themeColor="accent1" w:themeShade="BF"/>
          <w:sz w:val="28"/>
          <w:szCs w:val="28"/>
        </w:rPr>
        <w:t>izmantotās pētījumu metodes un izziņas avoti</w:t>
      </w:r>
      <w:bookmarkEnd w:id="28"/>
    </w:p>
    <w:p w14:paraId="3E43915A" w14:textId="1BE6CECF" w:rsidR="00634CD6" w:rsidRDefault="00634CD6" w:rsidP="00634CD6">
      <w:pPr>
        <w:spacing w:after="0"/>
        <w:ind w:firstLine="720"/>
        <w:jc w:val="both"/>
        <w:rPr>
          <w:rFonts w:ascii="Times New Roman" w:hAnsi="Times New Roman"/>
          <w:sz w:val="28"/>
          <w:szCs w:val="28"/>
        </w:rPr>
      </w:pPr>
      <w:r w:rsidRPr="00403EB2">
        <w:rPr>
          <w:rFonts w:ascii="Times New Roman" w:hAnsi="Times New Roman"/>
          <w:color w:val="2A2A2A"/>
          <w:sz w:val="28"/>
          <w:szCs w:val="28"/>
          <w:shd w:val="clear" w:color="auto" w:fill="FFFFFF"/>
        </w:rPr>
        <w:t xml:space="preserve">Pētījumu </w:t>
      </w:r>
      <w:bookmarkStart w:id="29" w:name="_Hlk14353544"/>
      <w:r w:rsidRPr="00403EB2">
        <w:rPr>
          <w:rFonts w:ascii="Times New Roman" w:hAnsi="Times New Roman"/>
          <w:color w:val="2A2A2A"/>
          <w:sz w:val="28"/>
          <w:szCs w:val="28"/>
          <w:shd w:val="clear" w:color="auto" w:fill="FFFFFF"/>
        </w:rPr>
        <w:t>“</w:t>
      </w:r>
      <w:r w:rsidRPr="00403EB2">
        <w:rPr>
          <w:rFonts w:ascii="Times New Roman" w:hAnsi="Times New Roman"/>
          <w:sz w:val="28"/>
          <w:szCs w:val="28"/>
        </w:rPr>
        <w:t xml:space="preserve">Par prognozētām izmaiņām darbaspēka un būvmateriālu izmaksās būvniecības nozarē Latvijā” </w:t>
      </w:r>
      <w:bookmarkEnd w:id="29"/>
      <w:r w:rsidRPr="00403EB2">
        <w:rPr>
          <w:rFonts w:ascii="Times New Roman" w:hAnsi="Times New Roman"/>
          <w:sz w:val="28"/>
          <w:szCs w:val="28"/>
        </w:rPr>
        <w:t>(turpmāk – Pētījums)</w:t>
      </w:r>
      <w:r w:rsidRPr="00403EB2">
        <w:rPr>
          <w:rFonts w:ascii="Times New Roman" w:hAnsi="Times New Roman"/>
          <w:color w:val="2A2A2A"/>
          <w:sz w:val="28"/>
          <w:szCs w:val="28"/>
          <w:shd w:val="clear" w:color="auto" w:fill="FFFFFF"/>
        </w:rPr>
        <w:t>, publiskā iepirkuma (iepirkuma līgums Nr. EM 2019/22) ietvaros, veica s</w:t>
      </w:r>
      <w:r w:rsidRPr="00403EB2">
        <w:rPr>
          <w:rFonts w:ascii="Times New Roman" w:hAnsi="Times New Roman"/>
          <w:sz w:val="28"/>
          <w:szCs w:val="28"/>
        </w:rPr>
        <w:t xml:space="preserve">abiedrība ar ierobežotu atbildību “Oxford Research Baltics”, projekta vadītājs – Mg. Mārtiņš Knite, eksperti Mg.oec. Aivars Timofejevs un Dr. Arnis Sauka. </w:t>
      </w:r>
      <w:r w:rsidRPr="00403EB2">
        <w:rPr>
          <w:rFonts w:ascii="Times New Roman" w:hAnsi="Times New Roman"/>
          <w:color w:val="000000" w:themeColor="text1"/>
          <w:sz w:val="28"/>
          <w:szCs w:val="28"/>
        </w:rPr>
        <w:t>Pētījums tika veikts atbilstoši 2018.gadā izstrādātajai</w:t>
      </w:r>
      <w:r w:rsidRPr="00403EB2">
        <w:rPr>
          <w:rFonts w:ascii="Times New Roman" w:hAnsi="Times New Roman"/>
          <w:sz w:val="28"/>
          <w:szCs w:val="28"/>
        </w:rPr>
        <w:t xml:space="preserve"> metodoloģijai “Par prognozētām izmaiņām darbaspēka un būvmateriālu izmaksās būvniecības nozarē Latvijā”</w:t>
      </w:r>
      <w:r w:rsidRPr="00403EB2">
        <w:rPr>
          <w:rStyle w:val="FootnoteReference"/>
          <w:rFonts w:ascii="Times New Roman" w:hAnsi="Times New Roman"/>
          <w:sz w:val="28"/>
          <w:szCs w:val="28"/>
        </w:rPr>
        <w:footnoteReference w:id="3"/>
      </w:r>
      <w:r>
        <w:rPr>
          <w:rFonts w:ascii="Times New Roman" w:hAnsi="Times New Roman"/>
          <w:sz w:val="28"/>
          <w:szCs w:val="28"/>
        </w:rPr>
        <w:t>,</w:t>
      </w:r>
      <w:r w:rsidRPr="00403EB2">
        <w:rPr>
          <w:rFonts w:ascii="Times New Roman" w:hAnsi="Times New Roman"/>
          <w:sz w:val="28"/>
          <w:szCs w:val="28"/>
        </w:rPr>
        <w:t xml:space="preserve"> lai nodrošinātu vienādu pieeju un iegūto rezultātu salīdzināšanu. </w:t>
      </w:r>
    </w:p>
    <w:p w14:paraId="00989FC3" w14:textId="77777777" w:rsidR="005A011F" w:rsidRPr="00403EB2" w:rsidRDefault="005A011F" w:rsidP="00634CD6">
      <w:pPr>
        <w:spacing w:after="0"/>
        <w:ind w:firstLine="720"/>
        <w:jc w:val="both"/>
        <w:rPr>
          <w:rFonts w:ascii="Times New Roman" w:hAnsi="Times New Roman"/>
          <w:sz w:val="28"/>
          <w:szCs w:val="28"/>
        </w:rPr>
      </w:pPr>
    </w:p>
    <w:p w14:paraId="513728F1" w14:textId="6D32FA83" w:rsidR="00634CD6" w:rsidRDefault="00634CD6" w:rsidP="00634CD6">
      <w:pPr>
        <w:spacing w:after="0"/>
        <w:ind w:firstLine="851"/>
        <w:jc w:val="both"/>
        <w:rPr>
          <w:rFonts w:ascii="Times New Roman" w:hAnsi="Times New Roman"/>
          <w:sz w:val="28"/>
          <w:szCs w:val="28"/>
        </w:rPr>
      </w:pPr>
      <w:r w:rsidRPr="00403EB2">
        <w:rPr>
          <w:rFonts w:ascii="Times New Roman" w:hAnsi="Times New Roman"/>
          <w:sz w:val="28"/>
          <w:szCs w:val="28"/>
        </w:rPr>
        <w:t xml:space="preserve">Pētījums, atbilstoši darba uzdevumam, ietver detalizētu izvērtējumu par laika periodu no 2019.gada 1.janvāra līdz 2020.gada 31.decembrim, kā arī tendenču novērtējumu un prognozes laika periodam no 2021.gada līdz 2023.gadam. Tajā pētītas būvniecības produkcijas apjoma un izmaksu izmaiņas gan kopumā būvniecībā, gan sekojošām būvniecības nozares apakšnozarēm - dzīvojamās ēkas, nedzīvojamās ēkas, transporta objekti, pazemes maģistrālie cauruļvadi, komplekso būvju rūpnieciskās ražošanas uzņēmumi un citu inženierbūvju būvniecībā. Pētījumā tika analizēti darbaspēka un būvmateriālu izmaksu izmaiņas ietekmējošie faktori, kā arī ēnu ekonomikas apkarošanas pasākumu potenciālā ietekme uz būvniecības izmaksām. </w:t>
      </w:r>
    </w:p>
    <w:p w14:paraId="57C16435" w14:textId="77777777" w:rsidR="005A011F" w:rsidRPr="00403EB2" w:rsidRDefault="005A011F" w:rsidP="00634CD6">
      <w:pPr>
        <w:spacing w:after="0"/>
        <w:ind w:firstLine="851"/>
        <w:jc w:val="both"/>
        <w:rPr>
          <w:rFonts w:ascii="Times New Roman" w:hAnsi="Times New Roman"/>
          <w:sz w:val="28"/>
          <w:szCs w:val="28"/>
        </w:rPr>
      </w:pPr>
    </w:p>
    <w:p w14:paraId="4C2A7619" w14:textId="312E1F65" w:rsidR="00634CD6" w:rsidRDefault="00634CD6" w:rsidP="00634CD6">
      <w:pPr>
        <w:spacing w:after="0"/>
        <w:ind w:firstLine="851"/>
        <w:jc w:val="both"/>
        <w:rPr>
          <w:rFonts w:ascii="Times New Roman" w:hAnsi="Times New Roman"/>
          <w:sz w:val="28"/>
          <w:szCs w:val="28"/>
        </w:rPr>
      </w:pPr>
      <w:r w:rsidRPr="00403EB2">
        <w:rPr>
          <w:rFonts w:ascii="Times New Roman" w:hAnsi="Times New Roman"/>
          <w:sz w:val="28"/>
          <w:szCs w:val="28"/>
        </w:rPr>
        <w:t>Pētījumā izmantoti CSP dati, kā arī veiktas ekspertu intervijas ar būvniecības nozares pārstāvjiem</w:t>
      </w:r>
      <w:r>
        <w:rPr>
          <w:rFonts w:ascii="Times New Roman" w:hAnsi="Times New Roman"/>
          <w:sz w:val="28"/>
          <w:szCs w:val="28"/>
        </w:rPr>
        <w:t>,</w:t>
      </w:r>
      <w:r w:rsidRPr="00403EB2">
        <w:rPr>
          <w:rFonts w:ascii="Times New Roman" w:hAnsi="Times New Roman"/>
          <w:sz w:val="28"/>
          <w:szCs w:val="28"/>
        </w:rPr>
        <w:t xml:space="preserve"> būvniecības nozares apakšnozaru ekspertiem</w:t>
      </w:r>
      <w:r>
        <w:rPr>
          <w:rFonts w:ascii="Times New Roman" w:hAnsi="Times New Roman"/>
          <w:sz w:val="28"/>
          <w:szCs w:val="28"/>
        </w:rPr>
        <w:t>,</w:t>
      </w:r>
      <w:r w:rsidRPr="00403EB2">
        <w:rPr>
          <w:rFonts w:ascii="Times New Roman" w:hAnsi="Times New Roman"/>
          <w:sz w:val="28"/>
          <w:szCs w:val="28"/>
        </w:rPr>
        <w:t xml:space="preserve"> </w:t>
      </w:r>
      <w:r>
        <w:rPr>
          <w:rFonts w:ascii="Times New Roman" w:hAnsi="Times New Roman"/>
          <w:sz w:val="28"/>
          <w:szCs w:val="28"/>
        </w:rPr>
        <w:t>kā arī</w:t>
      </w:r>
      <w:r w:rsidRPr="00403EB2">
        <w:rPr>
          <w:rFonts w:ascii="Times New Roman" w:hAnsi="Times New Roman"/>
          <w:sz w:val="28"/>
          <w:szCs w:val="28"/>
        </w:rPr>
        <w:t xml:space="preserve"> iekļautas makroekonomikas ekspertu prognozes vispārējo faktoru ietekmes novērtēšanai. Pētījuma gaitā iegūto statistisko datu un ekspertvērtējumu analīzei tika izmantotas dažādas analīzes metodes, atbilstoši datu attīstības tendencēm un ekspertvērtējumu skalai. </w:t>
      </w:r>
    </w:p>
    <w:p w14:paraId="51772CDF" w14:textId="77777777" w:rsidR="005A011F" w:rsidRPr="00403EB2" w:rsidRDefault="005A011F" w:rsidP="00634CD6">
      <w:pPr>
        <w:spacing w:after="0"/>
        <w:ind w:firstLine="851"/>
        <w:jc w:val="both"/>
        <w:rPr>
          <w:rFonts w:ascii="Times New Roman" w:hAnsi="Times New Roman"/>
          <w:sz w:val="28"/>
          <w:szCs w:val="28"/>
        </w:rPr>
      </w:pPr>
    </w:p>
    <w:p w14:paraId="1401810A" w14:textId="77777777" w:rsidR="00634CD6" w:rsidRPr="00E23FEC" w:rsidRDefault="00634CD6" w:rsidP="00634CD6">
      <w:pPr>
        <w:ind w:firstLine="851"/>
        <w:jc w:val="both"/>
        <w:rPr>
          <w:rFonts w:ascii="Times New Roman" w:hAnsi="Times New Roman" w:cs="Times New Roman"/>
          <w:sz w:val="28"/>
          <w:szCs w:val="28"/>
        </w:rPr>
      </w:pPr>
      <w:r w:rsidRPr="00403EB2">
        <w:rPr>
          <w:rStyle w:val="st"/>
          <w:rFonts w:ascii="Times New Roman" w:hAnsi="Times New Roman" w:cs="Times New Roman"/>
          <w:sz w:val="28"/>
          <w:szCs w:val="28"/>
        </w:rPr>
        <w:t xml:space="preserve">Būvniecības izmaksu izmaiņu kombinētā gala prognoze tika veidota kā aritmētiskais vidējais no trīs avotiem: </w:t>
      </w:r>
      <w:r w:rsidRPr="00403EB2">
        <w:rPr>
          <w:rFonts w:ascii="Times New Roman" w:hAnsi="Times New Roman" w:cs="Times New Roman"/>
          <w:sz w:val="28"/>
          <w:szCs w:val="28"/>
        </w:rPr>
        <w:t xml:space="preserve">statistisko datu trenda; būvniecības ekspertu prognožu vidējās vērtības un izmaksu-apjoma elastības modeļa prognožu </w:t>
      </w:r>
      <w:r w:rsidRPr="00403EB2">
        <w:rPr>
          <w:rFonts w:ascii="Times New Roman" w:hAnsi="Times New Roman" w:cs="Times New Roman"/>
          <w:sz w:val="28"/>
          <w:szCs w:val="28"/>
        </w:rPr>
        <w:lastRenderedPageBreak/>
        <w:t>rezultātiem, kur elastības modeļa izveidei, pamatojoties uz vēsturisko datu un ekspertu vērtējumu rezultātiem, kā atbilstošākais tika izvēlēts lineārais modelis.</w:t>
      </w:r>
    </w:p>
    <w:p w14:paraId="18C01BF3" w14:textId="77777777" w:rsidR="00634CD6" w:rsidRDefault="00634CD6" w:rsidP="00634CD6">
      <w:pPr>
        <w:spacing w:after="120"/>
        <w:ind w:firstLine="720"/>
        <w:jc w:val="both"/>
        <w:rPr>
          <w:rFonts w:ascii="Times New Roman" w:hAnsi="Times New Roman"/>
          <w:sz w:val="28"/>
          <w:szCs w:val="28"/>
        </w:rPr>
      </w:pPr>
      <w:r w:rsidRPr="00403EB2">
        <w:rPr>
          <w:rFonts w:ascii="Times New Roman" w:hAnsi="Times New Roman"/>
          <w:sz w:val="28"/>
          <w:szCs w:val="28"/>
        </w:rPr>
        <w:t>Pētījums pieejams Ekonomikas ministrijas tīmekļa mājas lapā</w:t>
      </w:r>
      <w:r w:rsidRPr="00403EB2">
        <w:rPr>
          <w:rStyle w:val="FootnoteReference"/>
          <w:rFonts w:ascii="Times New Roman" w:hAnsi="Times New Roman"/>
          <w:sz w:val="28"/>
          <w:szCs w:val="28"/>
        </w:rPr>
        <w:footnoteReference w:id="4"/>
      </w:r>
      <w:r w:rsidRPr="00403EB2">
        <w:rPr>
          <w:rFonts w:ascii="Times New Roman" w:hAnsi="Times New Roman"/>
          <w:sz w:val="28"/>
          <w:szCs w:val="28"/>
        </w:rPr>
        <w:t xml:space="preserve">, kā arī Pārresoru koordinācijas centra mājas lapā </w:t>
      </w:r>
      <w:r w:rsidRPr="00403EB2">
        <w:rPr>
          <w:rStyle w:val="FootnoteReference"/>
          <w:rFonts w:ascii="Times New Roman" w:hAnsi="Times New Roman"/>
          <w:sz w:val="28"/>
          <w:szCs w:val="28"/>
        </w:rPr>
        <w:footnoteReference w:id="5"/>
      </w:r>
      <w:r w:rsidRPr="00403EB2">
        <w:rPr>
          <w:rFonts w:ascii="Times New Roman" w:hAnsi="Times New Roman"/>
          <w:sz w:val="28"/>
          <w:szCs w:val="28"/>
        </w:rPr>
        <w:t>.</w:t>
      </w:r>
    </w:p>
    <w:p w14:paraId="3AB4D04B" w14:textId="77777777" w:rsidR="004D1CA7" w:rsidRPr="00E50D87" w:rsidRDefault="004D1CA7">
      <w:pPr>
        <w:jc w:val="both"/>
        <w:rPr>
          <w:rFonts w:ascii="Times New Roman" w:hAnsi="Times New Roman" w:cs="Times New Roman"/>
          <w:sz w:val="28"/>
          <w:szCs w:val="28"/>
        </w:rPr>
      </w:pPr>
    </w:p>
    <w:sectPr w:rsidR="004D1CA7" w:rsidRPr="00E50D87" w:rsidSect="00EF05A0">
      <w:footerReference w:type="default" r:id="rId28"/>
      <w:pgSz w:w="11906" w:h="16838" w:code="9"/>
      <w:pgMar w:top="1418"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CC6A0" w14:textId="77777777" w:rsidR="00BE4B13" w:rsidRDefault="00BE4B13" w:rsidP="00987572">
      <w:pPr>
        <w:spacing w:after="0" w:line="240" w:lineRule="auto"/>
      </w:pPr>
      <w:r>
        <w:separator/>
      </w:r>
    </w:p>
  </w:endnote>
  <w:endnote w:type="continuationSeparator" w:id="0">
    <w:p w14:paraId="569EE925" w14:textId="77777777" w:rsidR="00BE4B13" w:rsidRDefault="00BE4B13" w:rsidP="00987572">
      <w:pPr>
        <w:spacing w:after="0" w:line="240" w:lineRule="auto"/>
      </w:pPr>
      <w:r>
        <w:continuationSeparator/>
      </w:r>
    </w:p>
  </w:endnote>
  <w:endnote w:type="continuationNotice" w:id="1">
    <w:p w14:paraId="5BB5CDFA" w14:textId="77777777" w:rsidR="00BE4B13" w:rsidRDefault="00BE4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134953"/>
      <w:docPartObj>
        <w:docPartGallery w:val="Page Numbers (Bottom of Page)"/>
        <w:docPartUnique/>
      </w:docPartObj>
    </w:sdtPr>
    <w:sdtEndPr>
      <w:rPr>
        <w:noProof/>
      </w:rPr>
    </w:sdtEndPr>
    <w:sdtContent>
      <w:p w14:paraId="263846AF" w14:textId="076BD154" w:rsidR="00573988" w:rsidRDefault="005739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D1C9E" w14:textId="77777777" w:rsidR="00573988" w:rsidRDefault="0057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C6855" w14:textId="77777777" w:rsidR="00BE4B13" w:rsidRDefault="00BE4B13" w:rsidP="00987572">
      <w:pPr>
        <w:spacing w:after="0" w:line="240" w:lineRule="auto"/>
      </w:pPr>
      <w:r>
        <w:separator/>
      </w:r>
    </w:p>
  </w:footnote>
  <w:footnote w:type="continuationSeparator" w:id="0">
    <w:p w14:paraId="63891466" w14:textId="77777777" w:rsidR="00BE4B13" w:rsidRDefault="00BE4B13" w:rsidP="00987572">
      <w:pPr>
        <w:spacing w:after="0" w:line="240" w:lineRule="auto"/>
      </w:pPr>
      <w:r>
        <w:continuationSeparator/>
      </w:r>
    </w:p>
  </w:footnote>
  <w:footnote w:type="continuationNotice" w:id="1">
    <w:p w14:paraId="6B6A47BC" w14:textId="77777777" w:rsidR="00BE4B13" w:rsidRDefault="00BE4B13">
      <w:pPr>
        <w:spacing w:after="0" w:line="240" w:lineRule="auto"/>
      </w:pPr>
    </w:p>
  </w:footnote>
  <w:footnote w:id="2">
    <w:p w14:paraId="1068744D" w14:textId="77777777" w:rsidR="00573988" w:rsidRDefault="00573988" w:rsidP="00402A5C">
      <w:pPr>
        <w:pStyle w:val="FootnoteText"/>
        <w:jc w:val="both"/>
        <w:rPr>
          <w:rFonts w:ascii="Times New Roman" w:hAnsi="Times New Roman" w:cs="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Mājokļu cenu (</w:t>
      </w:r>
      <w:proofErr w:type="spellStart"/>
      <w:r>
        <w:rPr>
          <w:rFonts w:ascii="Times New Roman" w:hAnsi="Times New Roman"/>
          <w:sz w:val="16"/>
          <w:szCs w:val="16"/>
        </w:rPr>
        <w:t>deflēts</w:t>
      </w:r>
      <w:proofErr w:type="spellEnd"/>
      <w:r>
        <w:rPr>
          <w:rFonts w:ascii="Times New Roman" w:hAnsi="Times New Roman"/>
          <w:sz w:val="16"/>
          <w:szCs w:val="16"/>
        </w:rPr>
        <w:t xml:space="preserve">) indekss (vai reālais mājokļu cenu indekss) ir attiecība starp mājokļu cenu indeksu un nacionālo kontu </w:t>
      </w:r>
      <w:proofErr w:type="spellStart"/>
      <w:r>
        <w:rPr>
          <w:rFonts w:ascii="Times New Roman" w:hAnsi="Times New Roman"/>
          <w:sz w:val="16"/>
          <w:szCs w:val="16"/>
        </w:rPr>
        <w:t>deflatoru</w:t>
      </w:r>
      <w:proofErr w:type="spellEnd"/>
      <w:r>
        <w:rPr>
          <w:rFonts w:ascii="Times New Roman" w:hAnsi="Times New Roman"/>
          <w:sz w:val="16"/>
          <w:szCs w:val="16"/>
        </w:rPr>
        <w:t xml:space="preserve"> privātajiem </w:t>
      </w:r>
      <w:proofErr w:type="spellStart"/>
      <w:r>
        <w:rPr>
          <w:rFonts w:ascii="Times New Roman" w:hAnsi="Times New Roman"/>
          <w:sz w:val="16"/>
          <w:szCs w:val="16"/>
        </w:rPr>
        <w:t>galapatēriņa</w:t>
      </w:r>
      <w:proofErr w:type="spellEnd"/>
      <w:r>
        <w:rPr>
          <w:rFonts w:ascii="Times New Roman" w:hAnsi="Times New Roman"/>
          <w:sz w:val="16"/>
          <w:szCs w:val="16"/>
        </w:rPr>
        <w:t xml:space="preserve"> izdevumiem (mājsaimniecībām un bezpeļņas iestādēm, kas apkalpo mājsaimniecības). Tāpēc šis rādītājs mēra inflāciju mājokļu tirgū, salīdzinot ar inflāciju mājsaimniecību un </w:t>
      </w:r>
      <w:proofErr w:type="spellStart"/>
      <w:r>
        <w:rPr>
          <w:rFonts w:ascii="Times New Roman" w:hAnsi="Times New Roman"/>
          <w:sz w:val="16"/>
          <w:szCs w:val="16"/>
        </w:rPr>
        <w:t>galapatēriņa</w:t>
      </w:r>
      <w:proofErr w:type="spellEnd"/>
      <w:r>
        <w:rPr>
          <w:rFonts w:ascii="Times New Roman" w:hAnsi="Times New Roman"/>
          <w:sz w:val="16"/>
          <w:szCs w:val="16"/>
        </w:rPr>
        <w:t xml:space="preserve"> izdevumos.</w:t>
      </w:r>
    </w:p>
  </w:footnote>
  <w:footnote w:id="3">
    <w:p w14:paraId="1CFCFF6A" w14:textId="77777777" w:rsidR="00573988" w:rsidRPr="00987572" w:rsidRDefault="00573988" w:rsidP="00634CD6">
      <w:pPr>
        <w:pStyle w:val="FootnoteText"/>
        <w:rPr>
          <w:rFonts w:ascii="Times New Roman" w:hAnsi="Times New Roman" w:cs="Times New Roman"/>
          <w:sz w:val="20"/>
        </w:rPr>
      </w:pPr>
      <w:r>
        <w:rPr>
          <w:rStyle w:val="FootnoteReference"/>
        </w:rPr>
        <w:footnoteRef/>
      </w:r>
      <w:r>
        <w:t xml:space="preserve"> </w:t>
      </w:r>
      <w:r w:rsidRPr="00987572">
        <w:rPr>
          <w:rFonts w:ascii="Times New Roman" w:hAnsi="Times New Roman" w:cs="Times New Roman"/>
          <w:sz w:val="20"/>
        </w:rPr>
        <w:t xml:space="preserve">Pārresoru koordinācijas centra Pētījumu un publikāciju datu bāze </w:t>
      </w:r>
      <w:hyperlink r:id="rId1" w:history="1">
        <w:r w:rsidRPr="00987572">
          <w:rPr>
            <w:rStyle w:val="Hyperlink"/>
            <w:rFonts w:ascii="Times New Roman" w:hAnsi="Times New Roman" w:cs="Times New Roman"/>
            <w:sz w:val="20"/>
          </w:rPr>
          <w:t>http://petijumi.mk.gov.lv/node/3061</w:t>
        </w:r>
      </w:hyperlink>
    </w:p>
  </w:footnote>
  <w:footnote w:id="4">
    <w:p w14:paraId="30DF3996" w14:textId="77777777" w:rsidR="00573988" w:rsidRPr="00E937D6" w:rsidRDefault="00573988" w:rsidP="00634CD6">
      <w:pPr>
        <w:pStyle w:val="FootnoteText"/>
        <w:rPr>
          <w:rFonts w:ascii="Times New Roman" w:hAnsi="Times New Roman" w:cs="Times New Roman"/>
          <w:sz w:val="20"/>
        </w:rPr>
      </w:pPr>
      <w:r>
        <w:rPr>
          <w:rStyle w:val="FootnoteReference"/>
        </w:rPr>
        <w:footnoteRef/>
      </w:r>
      <w:r>
        <w:t xml:space="preserve"> </w:t>
      </w:r>
      <w:hyperlink r:id="rId2" w:history="1">
        <w:r w:rsidRPr="00E937D6">
          <w:rPr>
            <w:rStyle w:val="Hyperlink"/>
            <w:rFonts w:ascii="Times New Roman" w:hAnsi="Times New Roman" w:cs="Times New Roman"/>
            <w:sz w:val="20"/>
          </w:rPr>
          <w:t>https://www.em.gov.lv/lv/nozares_politika/buvnieciba/statistika__petijumi/</w:t>
        </w:r>
      </w:hyperlink>
    </w:p>
  </w:footnote>
  <w:footnote w:id="5">
    <w:p w14:paraId="7EB0EC2E" w14:textId="77777777" w:rsidR="00573988" w:rsidRDefault="00573988" w:rsidP="00634CD6">
      <w:pPr>
        <w:pStyle w:val="FootnoteText"/>
      </w:pPr>
      <w:r>
        <w:rPr>
          <w:rStyle w:val="FootnoteReference"/>
        </w:rPr>
        <w:footnoteRef/>
      </w:r>
      <w:r>
        <w:t xml:space="preserve"> </w:t>
      </w:r>
      <w:r w:rsidRPr="00987572">
        <w:rPr>
          <w:rFonts w:ascii="Times New Roman" w:hAnsi="Times New Roman" w:cs="Times New Roman"/>
          <w:sz w:val="20"/>
        </w:rPr>
        <w:t xml:space="preserve">Pārresoru koordinācijas centra Pētījumu un publikāciju datu bāze </w:t>
      </w:r>
      <w:hyperlink r:id="rId3" w:history="1">
        <w:r w:rsidRPr="00987572">
          <w:rPr>
            <w:rStyle w:val="Hyperlink"/>
            <w:rFonts w:ascii="Times New Roman" w:hAnsi="Times New Roman" w:cs="Times New Roman"/>
            <w:sz w:val="20"/>
          </w:rPr>
          <w:t>http://petijumi.mk.gov.lv/node/3061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133"/>
    <w:multiLevelType w:val="hybridMultilevel"/>
    <w:tmpl w:val="1214DC82"/>
    <w:lvl w:ilvl="0" w:tplc="40846B54">
      <w:numFmt w:val="bullet"/>
      <w:lvlText w:val="-"/>
      <w:lvlJc w:val="left"/>
      <w:pPr>
        <w:ind w:left="1069" w:hanging="360"/>
      </w:pPr>
      <w:rPr>
        <w:rFonts w:ascii="Times New Roman" w:eastAsiaTheme="minorEastAsia"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8FE3BFC"/>
    <w:multiLevelType w:val="hybridMultilevel"/>
    <w:tmpl w:val="DA7C6EFC"/>
    <w:lvl w:ilvl="0" w:tplc="D6225C1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D467B10"/>
    <w:multiLevelType w:val="hybridMultilevel"/>
    <w:tmpl w:val="CFFA526C"/>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506A0"/>
    <w:multiLevelType w:val="hybridMultilevel"/>
    <w:tmpl w:val="9432B41E"/>
    <w:lvl w:ilvl="0" w:tplc="307451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75EE88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E402641"/>
    <w:multiLevelType w:val="hybridMultilevel"/>
    <w:tmpl w:val="8760FE3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B3D3C"/>
    <w:multiLevelType w:val="hybridMultilevel"/>
    <w:tmpl w:val="C4C2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96289"/>
    <w:multiLevelType w:val="hybridMultilevel"/>
    <w:tmpl w:val="9B8A9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42031"/>
    <w:multiLevelType w:val="hybridMultilevel"/>
    <w:tmpl w:val="341EEE7E"/>
    <w:lvl w:ilvl="0" w:tplc="D60E72E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7E59CC"/>
    <w:multiLevelType w:val="hybridMultilevel"/>
    <w:tmpl w:val="851A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F7AC0"/>
    <w:multiLevelType w:val="hybridMultilevel"/>
    <w:tmpl w:val="9B8A9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E4E62"/>
    <w:multiLevelType w:val="hybridMultilevel"/>
    <w:tmpl w:val="8E943DB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932F0"/>
    <w:multiLevelType w:val="hybridMultilevel"/>
    <w:tmpl w:val="E33A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E2D88"/>
    <w:multiLevelType w:val="hybridMultilevel"/>
    <w:tmpl w:val="33B4E1CA"/>
    <w:lvl w:ilvl="0" w:tplc="8B8CEF7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6DF94564"/>
    <w:multiLevelType w:val="hybridMultilevel"/>
    <w:tmpl w:val="90D6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233D9"/>
    <w:multiLevelType w:val="multilevel"/>
    <w:tmpl w:val="C0B0D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91E3A4E"/>
    <w:multiLevelType w:val="hybridMultilevel"/>
    <w:tmpl w:val="F7DA25C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1"/>
  </w:num>
  <w:num w:numId="4">
    <w:abstractNumId w:val="8"/>
  </w:num>
  <w:num w:numId="5">
    <w:abstractNumId w:val="15"/>
  </w:num>
  <w:num w:numId="6">
    <w:abstractNumId w:val="2"/>
  </w:num>
  <w:num w:numId="7">
    <w:abstractNumId w:val="13"/>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14"/>
  </w:num>
  <w:num w:numId="19">
    <w:abstractNumId w:val="9"/>
  </w:num>
  <w:num w:numId="20">
    <w:abstractNumId w:val="12"/>
  </w:num>
  <w:num w:numId="21">
    <w:abstractNumId w:val="7"/>
  </w:num>
  <w:num w:numId="22">
    <w:abstractNumId w:val="1"/>
  </w:num>
  <w:num w:numId="23">
    <w:abstractNumId w:val="10"/>
  </w:num>
  <w:num w:numId="24">
    <w:abstractNumId w:val="3"/>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3D"/>
    <w:rsid w:val="0000759A"/>
    <w:rsid w:val="00026D5C"/>
    <w:rsid w:val="00041E9E"/>
    <w:rsid w:val="0004354C"/>
    <w:rsid w:val="000448C4"/>
    <w:rsid w:val="0005154D"/>
    <w:rsid w:val="00056C3A"/>
    <w:rsid w:val="000604DF"/>
    <w:rsid w:val="00061711"/>
    <w:rsid w:val="000654E4"/>
    <w:rsid w:val="000758CB"/>
    <w:rsid w:val="00075A1F"/>
    <w:rsid w:val="000830E6"/>
    <w:rsid w:val="00087273"/>
    <w:rsid w:val="000972FA"/>
    <w:rsid w:val="000A7E3E"/>
    <w:rsid w:val="000B5687"/>
    <w:rsid w:val="000B66C8"/>
    <w:rsid w:val="000C1B2B"/>
    <w:rsid w:val="000E442E"/>
    <w:rsid w:val="000F0821"/>
    <w:rsid w:val="0010202E"/>
    <w:rsid w:val="001101D9"/>
    <w:rsid w:val="00111778"/>
    <w:rsid w:val="00114AC8"/>
    <w:rsid w:val="00114E62"/>
    <w:rsid w:val="0012201E"/>
    <w:rsid w:val="00142BF3"/>
    <w:rsid w:val="00143BD7"/>
    <w:rsid w:val="00143CC7"/>
    <w:rsid w:val="00151B04"/>
    <w:rsid w:val="001667E4"/>
    <w:rsid w:val="001700A5"/>
    <w:rsid w:val="00174B99"/>
    <w:rsid w:val="00176B24"/>
    <w:rsid w:val="00180B8B"/>
    <w:rsid w:val="0018172D"/>
    <w:rsid w:val="001E5903"/>
    <w:rsid w:val="00214174"/>
    <w:rsid w:val="00220081"/>
    <w:rsid w:val="00220277"/>
    <w:rsid w:val="00222755"/>
    <w:rsid w:val="00230F81"/>
    <w:rsid w:val="00245D05"/>
    <w:rsid w:val="00260407"/>
    <w:rsid w:val="00262213"/>
    <w:rsid w:val="00263330"/>
    <w:rsid w:val="002729B2"/>
    <w:rsid w:val="002763D6"/>
    <w:rsid w:val="002768D5"/>
    <w:rsid w:val="00285E4A"/>
    <w:rsid w:val="00296C6E"/>
    <w:rsid w:val="002A0CB6"/>
    <w:rsid w:val="002B0033"/>
    <w:rsid w:val="002B0801"/>
    <w:rsid w:val="002B2C38"/>
    <w:rsid w:val="002B3121"/>
    <w:rsid w:val="002B4746"/>
    <w:rsid w:val="002C23A5"/>
    <w:rsid w:val="002C29D5"/>
    <w:rsid w:val="002C2AF4"/>
    <w:rsid w:val="002C65C5"/>
    <w:rsid w:val="002D66E1"/>
    <w:rsid w:val="002E6E17"/>
    <w:rsid w:val="002F09C8"/>
    <w:rsid w:val="00305886"/>
    <w:rsid w:val="00313D46"/>
    <w:rsid w:val="00320F93"/>
    <w:rsid w:val="00323246"/>
    <w:rsid w:val="003475D6"/>
    <w:rsid w:val="00347FC1"/>
    <w:rsid w:val="00355B3D"/>
    <w:rsid w:val="00373937"/>
    <w:rsid w:val="0037693D"/>
    <w:rsid w:val="003815EF"/>
    <w:rsid w:val="00394ECA"/>
    <w:rsid w:val="003A0CE1"/>
    <w:rsid w:val="003D4658"/>
    <w:rsid w:val="00402A5C"/>
    <w:rsid w:val="00403EB2"/>
    <w:rsid w:val="00422478"/>
    <w:rsid w:val="0043103F"/>
    <w:rsid w:val="00442DF3"/>
    <w:rsid w:val="00443DE2"/>
    <w:rsid w:val="00452DDC"/>
    <w:rsid w:val="00454CAF"/>
    <w:rsid w:val="00461A80"/>
    <w:rsid w:val="00462B7C"/>
    <w:rsid w:val="00465843"/>
    <w:rsid w:val="0047224C"/>
    <w:rsid w:val="00484B85"/>
    <w:rsid w:val="004B536E"/>
    <w:rsid w:val="004C3FE4"/>
    <w:rsid w:val="004D1CA7"/>
    <w:rsid w:val="004D40CD"/>
    <w:rsid w:val="00503B2C"/>
    <w:rsid w:val="005164F8"/>
    <w:rsid w:val="0052677F"/>
    <w:rsid w:val="00534281"/>
    <w:rsid w:val="00547423"/>
    <w:rsid w:val="00570EE9"/>
    <w:rsid w:val="00573988"/>
    <w:rsid w:val="005743F9"/>
    <w:rsid w:val="00575CDC"/>
    <w:rsid w:val="00590D40"/>
    <w:rsid w:val="00590E54"/>
    <w:rsid w:val="005A011F"/>
    <w:rsid w:val="005A6B67"/>
    <w:rsid w:val="005B0055"/>
    <w:rsid w:val="005B0FA6"/>
    <w:rsid w:val="005B45EE"/>
    <w:rsid w:val="005D45F5"/>
    <w:rsid w:val="005E5098"/>
    <w:rsid w:val="00605EEE"/>
    <w:rsid w:val="0061007D"/>
    <w:rsid w:val="006143D0"/>
    <w:rsid w:val="00623BEC"/>
    <w:rsid w:val="00634CD6"/>
    <w:rsid w:val="00643C03"/>
    <w:rsid w:val="00671165"/>
    <w:rsid w:val="006847EE"/>
    <w:rsid w:val="006859D2"/>
    <w:rsid w:val="0069609D"/>
    <w:rsid w:val="006B44C7"/>
    <w:rsid w:val="006C038E"/>
    <w:rsid w:val="006C535C"/>
    <w:rsid w:val="006C72C2"/>
    <w:rsid w:val="006C7438"/>
    <w:rsid w:val="006E3CD6"/>
    <w:rsid w:val="006E7378"/>
    <w:rsid w:val="006F0F5D"/>
    <w:rsid w:val="0071612C"/>
    <w:rsid w:val="00725F2A"/>
    <w:rsid w:val="007309F3"/>
    <w:rsid w:val="007310BE"/>
    <w:rsid w:val="00732D64"/>
    <w:rsid w:val="0073664F"/>
    <w:rsid w:val="007443AD"/>
    <w:rsid w:val="007454FB"/>
    <w:rsid w:val="00772E78"/>
    <w:rsid w:val="0077746F"/>
    <w:rsid w:val="007805F5"/>
    <w:rsid w:val="00784CE1"/>
    <w:rsid w:val="00790D2C"/>
    <w:rsid w:val="00794E1A"/>
    <w:rsid w:val="007A7F1F"/>
    <w:rsid w:val="007C42A6"/>
    <w:rsid w:val="007C62D1"/>
    <w:rsid w:val="007D5FEA"/>
    <w:rsid w:val="007D657D"/>
    <w:rsid w:val="007E485B"/>
    <w:rsid w:val="007F6F6A"/>
    <w:rsid w:val="008076AA"/>
    <w:rsid w:val="00811763"/>
    <w:rsid w:val="00820AF8"/>
    <w:rsid w:val="00826677"/>
    <w:rsid w:val="008278D5"/>
    <w:rsid w:val="0083131D"/>
    <w:rsid w:val="008605FA"/>
    <w:rsid w:val="008676AF"/>
    <w:rsid w:val="00881319"/>
    <w:rsid w:val="008A2560"/>
    <w:rsid w:val="008B159C"/>
    <w:rsid w:val="008B4859"/>
    <w:rsid w:val="008C03B4"/>
    <w:rsid w:val="008C3DF1"/>
    <w:rsid w:val="008C591B"/>
    <w:rsid w:val="008E40C5"/>
    <w:rsid w:val="008E66D8"/>
    <w:rsid w:val="009007AD"/>
    <w:rsid w:val="00911FF5"/>
    <w:rsid w:val="00927539"/>
    <w:rsid w:val="00955C4A"/>
    <w:rsid w:val="00956A3B"/>
    <w:rsid w:val="0095733A"/>
    <w:rsid w:val="009609F1"/>
    <w:rsid w:val="00966179"/>
    <w:rsid w:val="00982E57"/>
    <w:rsid w:val="00987572"/>
    <w:rsid w:val="0099192F"/>
    <w:rsid w:val="00994907"/>
    <w:rsid w:val="00995BC6"/>
    <w:rsid w:val="00995CF1"/>
    <w:rsid w:val="009C5373"/>
    <w:rsid w:val="009F1F4E"/>
    <w:rsid w:val="009F2AA0"/>
    <w:rsid w:val="00A17CBB"/>
    <w:rsid w:val="00A23951"/>
    <w:rsid w:val="00A342E6"/>
    <w:rsid w:val="00A57B89"/>
    <w:rsid w:val="00A60BF4"/>
    <w:rsid w:val="00A83D8B"/>
    <w:rsid w:val="00A92864"/>
    <w:rsid w:val="00A97F01"/>
    <w:rsid w:val="00AA1F37"/>
    <w:rsid w:val="00AA7154"/>
    <w:rsid w:val="00AC525D"/>
    <w:rsid w:val="00AE339C"/>
    <w:rsid w:val="00B03DE9"/>
    <w:rsid w:val="00B0795E"/>
    <w:rsid w:val="00B10547"/>
    <w:rsid w:val="00B31E6E"/>
    <w:rsid w:val="00B36AE3"/>
    <w:rsid w:val="00B4087A"/>
    <w:rsid w:val="00B46123"/>
    <w:rsid w:val="00B605B8"/>
    <w:rsid w:val="00B62180"/>
    <w:rsid w:val="00B64BBC"/>
    <w:rsid w:val="00B7540E"/>
    <w:rsid w:val="00B75742"/>
    <w:rsid w:val="00B8270B"/>
    <w:rsid w:val="00B96EBC"/>
    <w:rsid w:val="00BA48C2"/>
    <w:rsid w:val="00BA67BD"/>
    <w:rsid w:val="00BB3CA9"/>
    <w:rsid w:val="00BB4665"/>
    <w:rsid w:val="00BC317C"/>
    <w:rsid w:val="00BD31E5"/>
    <w:rsid w:val="00BD3F9E"/>
    <w:rsid w:val="00BE4755"/>
    <w:rsid w:val="00BE4B13"/>
    <w:rsid w:val="00BE5DF8"/>
    <w:rsid w:val="00BF482B"/>
    <w:rsid w:val="00C020D0"/>
    <w:rsid w:val="00C200BA"/>
    <w:rsid w:val="00C26CAC"/>
    <w:rsid w:val="00C5282C"/>
    <w:rsid w:val="00C63100"/>
    <w:rsid w:val="00C65CDB"/>
    <w:rsid w:val="00CA78B2"/>
    <w:rsid w:val="00CB56F2"/>
    <w:rsid w:val="00CD0A77"/>
    <w:rsid w:val="00CE01FD"/>
    <w:rsid w:val="00CE269C"/>
    <w:rsid w:val="00CF4060"/>
    <w:rsid w:val="00D10AF4"/>
    <w:rsid w:val="00D1389C"/>
    <w:rsid w:val="00D3491A"/>
    <w:rsid w:val="00D36E83"/>
    <w:rsid w:val="00D51DE2"/>
    <w:rsid w:val="00D53900"/>
    <w:rsid w:val="00D62DF4"/>
    <w:rsid w:val="00D671CD"/>
    <w:rsid w:val="00D90971"/>
    <w:rsid w:val="00D97189"/>
    <w:rsid w:val="00DA60BD"/>
    <w:rsid w:val="00DB3D04"/>
    <w:rsid w:val="00DB52D8"/>
    <w:rsid w:val="00DC1328"/>
    <w:rsid w:val="00DC5FEF"/>
    <w:rsid w:val="00DD0705"/>
    <w:rsid w:val="00DE389A"/>
    <w:rsid w:val="00E01461"/>
    <w:rsid w:val="00E10545"/>
    <w:rsid w:val="00E23FEC"/>
    <w:rsid w:val="00E337C5"/>
    <w:rsid w:val="00E35EC0"/>
    <w:rsid w:val="00E375CA"/>
    <w:rsid w:val="00E437BE"/>
    <w:rsid w:val="00E44B33"/>
    <w:rsid w:val="00E4753F"/>
    <w:rsid w:val="00E50D87"/>
    <w:rsid w:val="00E80009"/>
    <w:rsid w:val="00E84677"/>
    <w:rsid w:val="00E937D6"/>
    <w:rsid w:val="00EB138D"/>
    <w:rsid w:val="00EB6E96"/>
    <w:rsid w:val="00ED032A"/>
    <w:rsid w:val="00EE4040"/>
    <w:rsid w:val="00EF05A0"/>
    <w:rsid w:val="00EF4C0B"/>
    <w:rsid w:val="00EF524A"/>
    <w:rsid w:val="00EF7261"/>
    <w:rsid w:val="00F0398B"/>
    <w:rsid w:val="00F0621B"/>
    <w:rsid w:val="00F1779A"/>
    <w:rsid w:val="00F251E1"/>
    <w:rsid w:val="00F35AB4"/>
    <w:rsid w:val="00F4683A"/>
    <w:rsid w:val="00F52455"/>
    <w:rsid w:val="00F53DDD"/>
    <w:rsid w:val="00F56CDC"/>
    <w:rsid w:val="00F70D40"/>
    <w:rsid w:val="00F9122D"/>
    <w:rsid w:val="00F9205D"/>
    <w:rsid w:val="00F920D3"/>
    <w:rsid w:val="00FB65F9"/>
    <w:rsid w:val="00FC0590"/>
    <w:rsid w:val="00FC6D43"/>
    <w:rsid w:val="00FD45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AA1A"/>
  <w15:chartTrackingRefBased/>
  <w15:docId w15:val="{8AE36698-8B04-4C13-B29F-357BD9E4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F1"/>
  </w:style>
  <w:style w:type="paragraph" w:styleId="Heading1">
    <w:name w:val="heading 1"/>
    <w:basedOn w:val="Normal"/>
    <w:next w:val="Normal"/>
    <w:link w:val="Heading1Char"/>
    <w:uiPriority w:val="9"/>
    <w:qFormat/>
    <w:rsid w:val="00F0398B"/>
    <w:pPr>
      <w:keepNext/>
      <w:keepLines/>
      <w:spacing w:before="320" w:after="240" w:line="240" w:lineRule="auto"/>
      <w:jc w:val="center"/>
      <w:outlineLvl w:val="0"/>
    </w:pPr>
    <w:rPr>
      <w:rFonts w:ascii="Times New Roman" w:eastAsiaTheme="majorEastAsia" w:hAnsi="Times New Roman" w:cstheme="majorBidi"/>
      <w:b/>
      <w:color w:val="000000" w:themeColor="text1"/>
      <w:sz w:val="36"/>
      <w:szCs w:val="40"/>
    </w:rPr>
  </w:style>
  <w:style w:type="paragraph" w:styleId="Heading2">
    <w:name w:val="heading 2"/>
    <w:basedOn w:val="Normal"/>
    <w:next w:val="Normal"/>
    <w:link w:val="Heading2Char"/>
    <w:uiPriority w:val="9"/>
    <w:unhideWhenUsed/>
    <w:qFormat/>
    <w:rsid w:val="009609F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609F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609F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609F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609F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609F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609F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609F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 Char Char Char,Fußnotentext Char,Fußnotentext Char1 Char1,Fußnotentext Char Char Char Char,Fußnotentext Char1 Char Char Char,Fußnotentext Char Char,Fußnotentext Char1 Char Char Char Char,Fußn,stile 1,f"/>
    <w:basedOn w:val="Normal"/>
    <w:link w:val="FootnoteTextChar"/>
    <w:uiPriority w:val="99"/>
    <w:unhideWhenUsed/>
    <w:qFormat/>
    <w:rsid w:val="00987572"/>
    <w:pPr>
      <w:spacing w:before="120" w:after="0" w:line="240" w:lineRule="auto"/>
    </w:pPr>
    <w:rPr>
      <w:szCs w:val="20"/>
    </w:rPr>
  </w:style>
  <w:style w:type="character" w:customStyle="1" w:styleId="FootnoteTextChar">
    <w:name w:val="Footnote Text Char"/>
    <w:aliases w:val="Footnote Char,Fußnote Char,Fußnote Char Char Char Char,Fußnotentext Char Char1,Fußnotentext Char1 Char1 Char,Fußnotentext Char Char Char Char Char,Fußnotentext Char1 Char Char Char Char1,Fußnotentext Char Char Char,Fußn Char,f Char"/>
    <w:basedOn w:val="DefaultParagraphFont"/>
    <w:link w:val="FootnoteText"/>
    <w:uiPriority w:val="99"/>
    <w:qFormat/>
    <w:rsid w:val="00987572"/>
    <w:rPr>
      <w:rFonts w:asciiTheme="minorHAnsi" w:eastAsiaTheme="minorEastAsia" w:hAnsiTheme="minorHAnsi"/>
      <w:sz w:val="22"/>
      <w:szCs w:val="20"/>
    </w:rPr>
  </w:style>
  <w:style w:type="character" w:styleId="FootnoteReference">
    <w:name w:val="footnote reference"/>
    <w:aliases w:val="Footnote Reference Number,Odwołanie przypisu,Footnote symbol,Footnote Reference Superscript,Footnote Refernece,ftref,BVI fnr,Footnotes refss,SUPERS,Ref,de nota al pie,-E Fußnotenzeichen,Footnote reference number,Times 10 Point,E,E FNZ"/>
    <w:basedOn w:val="DefaultParagraphFont"/>
    <w:link w:val="CharCharCharChar"/>
    <w:uiPriority w:val="99"/>
    <w:unhideWhenUsed/>
    <w:qFormat/>
    <w:rsid w:val="00987572"/>
    <w:rPr>
      <w:vertAlign w:val="superscript"/>
    </w:rPr>
  </w:style>
  <w:style w:type="character" w:styleId="Hyperlink">
    <w:name w:val="Hyperlink"/>
    <w:basedOn w:val="DefaultParagraphFont"/>
    <w:uiPriority w:val="99"/>
    <w:unhideWhenUsed/>
    <w:rsid w:val="00987572"/>
    <w:rPr>
      <w:color w:val="0000FF"/>
      <w:u w:val="single"/>
    </w:rPr>
  </w:style>
  <w:style w:type="character" w:styleId="FollowedHyperlink">
    <w:name w:val="FollowedHyperlink"/>
    <w:basedOn w:val="DefaultParagraphFont"/>
    <w:uiPriority w:val="99"/>
    <w:semiHidden/>
    <w:unhideWhenUsed/>
    <w:rsid w:val="00987572"/>
    <w:rPr>
      <w:color w:val="954F72" w:themeColor="followedHyperlink"/>
      <w:u w:val="single"/>
    </w:rPr>
  </w:style>
  <w:style w:type="paragraph" w:styleId="NormalWeb">
    <w:name w:val="Normal (Web)"/>
    <w:basedOn w:val="Normal"/>
    <w:uiPriority w:val="99"/>
    <w:semiHidden/>
    <w:unhideWhenUsed/>
    <w:rsid w:val="008C591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t">
    <w:name w:val="st"/>
    <w:basedOn w:val="DefaultParagraphFont"/>
    <w:qFormat/>
    <w:rsid w:val="0061007D"/>
  </w:style>
  <w:style w:type="paragraph" w:styleId="ListParagraph">
    <w:name w:val="List Paragraph"/>
    <w:aliases w:val="Strip,H&amp;P List Paragraph,2"/>
    <w:basedOn w:val="Normal"/>
    <w:link w:val="ListParagraphChar"/>
    <w:uiPriority w:val="34"/>
    <w:qFormat/>
    <w:rsid w:val="002763D6"/>
    <w:pPr>
      <w:ind w:left="720"/>
      <w:contextualSpacing/>
    </w:pPr>
  </w:style>
  <w:style w:type="character" w:customStyle="1" w:styleId="ListParagraphChar">
    <w:name w:val="List Paragraph Char"/>
    <w:aliases w:val="Strip Char,H&amp;P List Paragraph Char,2 Char"/>
    <w:link w:val="ListParagraph"/>
    <w:uiPriority w:val="34"/>
    <w:qFormat/>
    <w:locked/>
    <w:rsid w:val="002763D6"/>
  </w:style>
  <w:style w:type="table" w:styleId="TableGrid">
    <w:name w:val="Table Grid"/>
    <w:basedOn w:val="TableNormal"/>
    <w:uiPriority w:val="39"/>
    <w:rsid w:val="0095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3F9E"/>
    <w:rPr>
      <w:sz w:val="16"/>
      <w:szCs w:val="16"/>
    </w:rPr>
  </w:style>
  <w:style w:type="paragraph" w:styleId="CommentText">
    <w:name w:val="annotation text"/>
    <w:basedOn w:val="Normal"/>
    <w:link w:val="CommentTextChar"/>
    <w:uiPriority w:val="99"/>
    <w:unhideWhenUsed/>
    <w:qFormat/>
    <w:rsid w:val="00BD3F9E"/>
    <w:pPr>
      <w:spacing w:line="240" w:lineRule="auto"/>
    </w:pPr>
    <w:rPr>
      <w:sz w:val="20"/>
      <w:szCs w:val="20"/>
    </w:rPr>
  </w:style>
  <w:style w:type="character" w:customStyle="1" w:styleId="CommentTextChar">
    <w:name w:val="Comment Text Char"/>
    <w:basedOn w:val="DefaultParagraphFont"/>
    <w:link w:val="CommentText"/>
    <w:uiPriority w:val="99"/>
    <w:qFormat/>
    <w:rsid w:val="00BD3F9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3F9E"/>
    <w:rPr>
      <w:b/>
      <w:bCs/>
    </w:rPr>
  </w:style>
  <w:style w:type="character" w:customStyle="1" w:styleId="CommentSubjectChar">
    <w:name w:val="Comment Subject Char"/>
    <w:basedOn w:val="CommentTextChar"/>
    <w:link w:val="CommentSubject"/>
    <w:uiPriority w:val="99"/>
    <w:semiHidden/>
    <w:rsid w:val="00BD3F9E"/>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BD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F9E"/>
    <w:rPr>
      <w:rFonts w:ascii="Segoe UI" w:eastAsia="Calibri" w:hAnsi="Segoe UI" w:cs="Segoe UI"/>
      <w:sz w:val="18"/>
      <w:szCs w:val="18"/>
      <w:lang w:val="en-US"/>
    </w:rPr>
  </w:style>
  <w:style w:type="paragraph" w:styleId="EndnoteText">
    <w:name w:val="endnote text"/>
    <w:basedOn w:val="Normal"/>
    <w:link w:val="EndnoteTextChar"/>
    <w:uiPriority w:val="99"/>
    <w:semiHidden/>
    <w:unhideWhenUsed/>
    <w:rsid w:val="00CD0A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A77"/>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CD0A77"/>
    <w:rPr>
      <w:vertAlign w:val="superscript"/>
    </w:rPr>
  </w:style>
  <w:style w:type="character" w:customStyle="1" w:styleId="Heading2Char">
    <w:name w:val="Heading 2 Char"/>
    <w:basedOn w:val="DefaultParagraphFont"/>
    <w:link w:val="Heading2"/>
    <w:uiPriority w:val="9"/>
    <w:rsid w:val="009609F1"/>
    <w:rPr>
      <w:rFonts w:asciiTheme="majorHAnsi" w:eastAsiaTheme="majorEastAsia" w:hAnsiTheme="majorHAnsi" w:cstheme="majorBidi"/>
      <w:sz w:val="32"/>
      <w:szCs w:val="32"/>
    </w:rPr>
  </w:style>
  <w:style w:type="table" w:styleId="PlainTable1">
    <w:name w:val="Plain Table 1"/>
    <w:basedOn w:val="TableNormal"/>
    <w:uiPriority w:val="41"/>
    <w:rsid w:val="00AC525D"/>
    <w:pPr>
      <w:spacing w:before="100"/>
    </w:pPr>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F0398B"/>
    <w:rPr>
      <w:rFonts w:ascii="Times New Roman" w:eastAsiaTheme="majorEastAsia" w:hAnsi="Times New Roman" w:cstheme="majorBidi"/>
      <w:b/>
      <w:color w:val="000000" w:themeColor="text1"/>
      <w:sz w:val="36"/>
      <w:szCs w:val="40"/>
    </w:rPr>
  </w:style>
  <w:style w:type="paragraph" w:styleId="TOCHeading">
    <w:name w:val="TOC Heading"/>
    <w:basedOn w:val="Heading1"/>
    <w:next w:val="Normal"/>
    <w:uiPriority w:val="39"/>
    <w:unhideWhenUsed/>
    <w:qFormat/>
    <w:rsid w:val="009609F1"/>
    <w:pPr>
      <w:outlineLvl w:val="9"/>
    </w:pPr>
  </w:style>
  <w:style w:type="paragraph" w:styleId="TOC2">
    <w:name w:val="toc 2"/>
    <w:basedOn w:val="Normal"/>
    <w:next w:val="Normal"/>
    <w:autoRedefine/>
    <w:uiPriority w:val="39"/>
    <w:unhideWhenUsed/>
    <w:rsid w:val="0073664F"/>
    <w:pPr>
      <w:spacing w:after="100" w:line="259" w:lineRule="auto"/>
      <w:ind w:left="220"/>
    </w:pPr>
  </w:style>
  <w:style w:type="paragraph" w:styleId="TOC1">
    <w:name w:val="toc 1"/>
    <w:basedOn w:val="Normal"/>
    <w:next w:val="Normal"/>
    <w:autoRedefine/>
    <w:uiPriority w:val="39"/>
    <w:unhideWhenUsed/>
    <w:rsid w:val="0073664F"/>
    <w:pPr>
      <w:spacing w:after="100" w:line="259" w:lineRule="auto"/>
    </w:pPr>
  </w:style>
  <w:style w:type="paragraph" w:styleId="TOC3">
    <w:name w:val="toc 3"/>
    <w:basedOn w:val="Normal"/>
    <w:next w:val="Normal"/>
    <w:autoRedefine/>
    <w:uiPriority w:val="39"/>
    <w:unhideWhenUsed/>
    <w:rsid w:val="0073664F"/>
    <w:pPr>
      <w:spacing w:after="100" w:line="259" w:lineRule="auto"/>
      <w:ind w:left="440"/>
    </w:pPr>
  </w:style>
  <w:style w:type="character" w:customStyle="1" w:styleId="Heading3Char">
    <w:name w:val="Heading 3 Char"/>
    <w:basedOn w:val="DefaultParagraphFont"/>
    <w:link w:val="Heading3"/>
    <w:uiPriority w:val="9"/>
    <w:rsid w:val="009609F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609F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609F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609F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609F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609F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609F1"/>
    <w:rPr>
      <w:b/>
      <w:bCs/>
      <w:i/>
      <w:iCs/>
    </w:rPr>
  </w:style>
  <w:style w:type="paragraph" w:styleId="Caption">
    <w:name w:val="caption"/>
    <w:basedOn w:val="Normal"/>
    <w:next w:val="Normal"/>
    <w:uiPriority w:val="35"/>
    <w:semiHidden/>
    <w:unhideWhenUsed/>
    <w:qFormat/>
    <w:rsid w:val="009609F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609F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609F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609F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609F1"/>
    <w:rPr>
      <w:color w:val="44546A" w:themeColor="text2"/>
      <w:sz w:val="28"/>
      <w:szCs w:val="28"/>
    </w:rPr>
  </w:style>
  <w:style w:type="character" w:styleId="Strong">
    <w:name w:val="Strong"/>
    <w:basedOn w:val="DefaultParagraphFont"/>
    <w:uiPriority w:val="22"/>
    <w:qFormat/>
    <w:rsid w:val="009609F1"/>
    <w:rPr>
      <w:b/>
      <w:bCs/>
    </w:rPr>
  </w:style>
  <w:style w:type="character" w:styleId="Emphasis">
    <w:name w:val="Emphasis"/>
    <w:basedOn w:val="DefaultParagraphFont"/>
    <w:uiPriority w:val="20"/>
    <w:qFormat/>
    <w:rsid w:val="009609F1"/>
    <w:rPr>
      <w:i/>
      <w:iCs/>
      <w:color w:val="000000" w:themeColor="text1"/>
    </w:rPr>
  </w:style>
  <w:style w:type="paragraph" w:styleId="NoSpacing">
    <w:name w:val="No Spacing"/>
    <w:uiPriority w:val="1"/>
    <w:qFormat/>
    <w:rsid w:val="009609F1"/>
    <w:pPr>
      <w:spacing w:after="0" w:line="240" w:lineRule="auto"/>
    </w:pPr>
  </w:style>
  <w:style w:type="paragraph" w:styleId="Quote">
    <w:name w:val="Quote"/>
    <w:basedOn w:val="Normal"/>
    <w:next w:val="Normal"/>
    <w:link w:val="QuoteChar"/>
    <w:uiPriority w:val="29"/>
    <w:qFormat/>
    <w:rsid w:val="009609F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609F1"/>
    <w:rPr>
      <w:i/>
      <w:iCs/>
      <w:color w:val="7B7B7B" w:themeColor="accent3" w:themeShade="BF"/>
      <w:sz w:val="24"/>
      <w:szCs w:val="24"/>
    </w:rPr>
  </w:style>
  <w:style w:type="paragraph" w:styleId="IntenseQuote">
    <w:name w:val="Intense Quote"/>
    <w:basedOn w:val="Normal"/>
    <w:next w:val="Normal"/>
    <w:link w:val="IntenseQuoteChar"/>
    <w:uiPriority w:val="30"/>
    <w:qFormat/>
    <w:rsid w:val="009609F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609F1"/>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9609F1"/>
    <w:rPr>
      <w:i/>
      <w:iCs/>
      <w:color w:val="595959" w:themeColor="text1" w:themeTint="A6"/>
    </w:rPr>
  </w:style>
  <w:style w:type="character" w:styleId="IntenseEmphasis">
    <w:name w:val="Intense Emphasis"/>
    <w:basedOn w:val="DefaultParagraphFont"/>
    <w:uiPriority w:val="21"/>
    <w:qFormat/>
    <w:rsid w:val="009609F1"/>
    <w:rPr>
      <w:b/>
      <w:bCs/>
      <w:i/>
      <w:iCs/>
      <w:color w:val="auto"/>
    </w:rPr>
  </w:style>
  <w:style w:type="character" w:styleId="SubtleReference">
    <w:name w:val="Subtle Reference"/>
    <w:basedOn w:val="DefaultParagraphFont"/>
    <w:uiPriority w:val="31"/>
    <w:qFormat/>
    <w:rsid w:val="009609F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609F1"/>
    <w:rPr>
      <w:b/>
      <w:bCs/>
      <w:caps w:val="0"/>
      <w:smallCaps/>
      <w:color w:val="auto"/>
      <w:spacing w:val="0"/>
      <w:u w:val="single"/>
    </w:rPr>
  </w:style>
  <w:style w:type="character" w:styleId="BookTitle">
    <w:name w:val="Book Title"/>
    <w:basedOn w:val="DefaultParagraphFont"/>
    <w:uiPriority w:val="33"/>
    <w:qFormat/>
    <w:rsid w:val="009609F1"/>
    <w:rPr>
      <w:b/>
      <w:bCs/>
      <w:caps w:val="0"/>
      <w:smallCaps/>
      <w:spacing w:val="0"/>
    </w:rPr>
  </w:style>
  <w:style w:type="paragraph" w:styleId="Header">
    <w:name w:val="header"/>
    <w:basedOn w:val="Normal"/>
    <w:link w:val="HeaderChar"/>
    <w:uiPriority w:val="99"/>
    <w:unhideWhenUsed/>
    <w:rsid w:val="00E475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753F"/>
  </w:style>
  <w:style w:type="paragraph" w:styleId="Footer">
    <w:name w:val="footer"/>
    <w:basedOn w:val="Normal"/>
    <w:link w:val="FooterChar"/>
    <w:uiPriority w:val="99"/>
    <w:unhideWhenUsed/>
    <w:rsid w:val="00E475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753F"/>
  </w:style>
  <w:style w:type="paragraph" w:customStyle="1" w:styleId="CharCharCharChar">
    <w:name w:val="Char Char Char Char"/>
    <w:aliases w:val="Char2"/>
    <w:basedOn w:val="Normal"/>
    <w:next w:val="Normal"/>
    <w:link w:val="FootnoteReference"/>
    <w:uiPriority w:val="99"/>
    <w:rsid w:val="00F56CDC"/>
    <w:pPr>
      <w:spacing w:line="240" w:lineRule="exact"/>
    </w:pPr>
    <w:rPr>
      <w:vertAlign w:val="superscript"/>
    </w:rPr>
  </w:style>
  <w:style w:type="character" w:styleId="UnresolvedMention">
    <w:name w:val="Unresolved Mention"/>
    <w:basedOn w:val="DefaultParagraphFont"/>
    <w:uiPriority w:val="99"/>
    <w:semiHidden/>
    <w:unhideWhenUsed/>
    <w:rsid w:val="0017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4770">
      <w:bodyDiv w:val="1"/>
      <w:marLeft w:val="0"/>
      <w:marRight w:val="0"/>
      <w:marTop w:val="0"/>
      <w:marBottom w:val="0"/>
      <w:divBdr>
        <w:top w:val="none" w:sz="0" w:space="0" w:color="auto"/>
        <w:left w:val="none" w:sz="0" w:space="0" w:color="auto"/>
        <w:bottom w:val="none" w:sz="0" w:space="0" w:color="auto"/>
        <w:right w:val="none" w:sz="0" w:space="0" w:color="auto"/>
      </w:divBdr>
    </w:div>
    <w:div w:id="442845576">
      <w:bodyDiv w:val="1"/>
      <w:marLeft w:val="0"/>
      <w:marRight w:val="0"/>
      <w:marTop w:val="0"/>
      <w:marBottom w:val="0"/>
      <w:divBdr>
        <w:top w:val="none" w:sz="0" w:space="0" w:color="auto"/>
        <w:left w:val="none" w:sz="0" w:space="0" w:color="auto"/>
        <w:bottom w:val="none" w:sz="0" w:space="0" w:color="auto"/>
        <w:right w:val="none" w:sz="0" w:space="0" w:color="auto"/>
      </w:divBdr>
    </w:div>
    <w:div w:id="659384617">
      <w:bodyDiv w:val="1"/>
      <w:marLeft w:val="0"/>
      <w:marRight w:val="0"/>
      <w:marTop w:val="0"/>
      <w:marBottom w:val="0"/>
      <w:divBdr>
        <w:top w:val="none" w:sz="0" w:space="0" w:color="auto"/>
        <w:left w:val="none" w:sz="0" w:space="0" w:color="auto"/>
        <w:bottom w:val="none" w:sz="0" w:space="0" w:color="auto"/>
        <w:right w:val="none" w:sz="0" w:space="0" w:color="auto"/>
      </w:divBdr>
    </w:div>
    <w:div w:id="945387646">
      <w:bodyDiv w:val="1"/>
      <w:marLeft w:val="0"/>
      <w:marRight w:val="0"/>
      <w:marTop w:val="0"/>
      <w:marBottom w:val="0"/>
      <w:divBdr>
        <w:top w:val="none" w:sz="0" w:space="0" w:color="auto"/>
        <w:left w:val="none" w:sz="0" w:space="0" w:color="auto"/>
        <w:bottom w:val="none" w:sz="0" w:space="0" w:color="auto"/>
        <w:right w:val="none" w:sz="0" w:space="0" w:color="auto"/>
      </w:divBdr>
    </w:div>
    <w:div w:id="19919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nozares_politika/buvnieciba/statistika__petijumi/"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11.png"/><Relationship Id="rId27" Type="http://schemas.openxmlformats.org/officeDocument/2006/relationships/chart" Target="charts/chart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etijumi.mk.gov.lv/node/3061" TargetMode="External"/><Relationship Id="rId2" Type="http://schemas.openxmlformats.org/officeDocument/2006/relationships/hyperlink" Target="https://www.em.gov.lv/lv/nozares_politika/buvnieciba/statistika__petijumi/" TargetMode="External"/><Relationship Id="rId1" Type="http://schemas.openxmlformats.org/officeDocument/2006/relationships/hyperlink" Target="http://petijumi.mk.gov.lv/node/306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sts.Sprogis\Desktop\UZDEVUMI%2010.04.2019\B&#363;vizmaksu%20p&#275;t&#299;jums\Transporta%20inzenierb&#363;v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sts.Sprogis\Desktop\UZDEVUMI%2010.04.2019\B&#363;vizmaksu%20p&#275;t&#299;jums\Transporta%20inzenierb&#363;v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usts.Sprogis\Desktop\UZDEVUMI%2010.04.2019\KDG\2019\Atbildes\atbildes%202019\Kopsavilkums%20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usts.Sprogis\Desktop\UZDEVUMI%2010.04.2019\KDG\2019\Atbildes\atbildes%202019\Kopsavilkums%2020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usts.Sprogis\Desktop\UZDEVUMI%2010.04.2019\KDG\2019\Atbildes\atbildes%202019\Kopsavilkums%202019.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782-42C1-94FD-DD08EFAFD88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782-42C1-94FD-DD08EFAFD88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782-42C1-94FD-DD08EFAFD88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782-42C1-94FD-DD08EFAFD88F}"/>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E782-42C1-94FD-DD08EFAFD88F}"/>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E782-42C1-94FD-DD08EFAFD88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lv-LV"/>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Sheet1!$G$7:$G$12</c:f>
              <c:strCache>
                <c:ptCount val="6"/>
                <c:pt idx="0">
                  <c:v>Dzīvojamo ēku būvniecība </c:v>
                </c:pt>
                <c:pt idx="1">
                  <c:v>Nedzīvojamo ēku būvniecība</c:v>
                </c:pt>
                <c:pt idx="2">
                  <c:v>Transportbūves</c:v>
                </c:pt>
                <c:pt idx="3">
                  <c:v>maģistrālie cauruļvadi, maģistrālās sakaru un elektropārvades līnijas </c:v>
                </c:pt>
                <c:pt idx="4">
                  <c:v>kompleksās būves rūpnieciskās ražošanas uzņēmumos </c:v>
                </c:pt>
                <c:pt idx="5">
                  <c:v>citas inženierbūves </c:v>
                </c:pt>
              </c:strCache>
            </c:strRef>
          </c:cat>
          <c:val>
            <c:numRef>
              <c:f>Sheet1!$H$7:$H$12</c:f>
              <c:numCache>
                <c:formatCode>General</c:formatCode>
                <c:ptCount val="6"/>
                <c:pt idx="0">
                  <c:v>13.8</c:v>
                </c:pt>
                <c:pt idx="1">
                  <c:v>42.3</c:v>
                </c:pt>
                <c:pt idx="2">
                  <c:v>24.2</c:v>
                </c:pt>
                <c:pt idx="3">
                  <c:v>16.5</c:v>
                </c:pt>
                <c:pt idx="4">
                  <c:v>2.5</c:v>
                </c:pt>
                <c:pt idx="5">
                  <c:v>0.7</c:v>
                </c:pt>
              </c:numCache>
            </c:numRef>
          </c:val>
          <c:extLst>
            <c:ext xmlns:c16="http://schemas.microsoft.com/office/drawing/2014/chart" uri="{C3380CC4-5D6E-409C-BE32-E72D297353CC}">
              <c16:uniqueId val="{0000000C-E782-42C1-94FD-DD08EFAFD88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787702766662361"/>
          <c:y val="0.25896418178705921"/>
          <c:w val="0.4257295297104256"/>
          <c:h val="0.6997346799041424"/>
        </c:manualLayout>
      </c:layout>
      <c:overlay val="0"/>
      <c:spPr>
        <a:solidFill>
          <a:schemeClr val="lt1">
            <a:alpha val="50000"/>
          </a:schemeClr>
        </a:solid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Apstiprināti projekti</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7"/>
              <c:pt idx="0">
                <c:v>2017</c:v>
              </c:pt>
              <c:pt idx="1">
                <c:v>2018</c:v>
              </c:pt>
              <c:pt idx="2">
                <c:v>2019</c:v>
              </c:pt>
              <c:pt idx="3">
                <c:v>2020</c:v>
              </c:pt>
              <c:pt idx="4">
                <c:v>2021</c:v>
              </c:pt>
              <c:pt idx="5">
                <c:v>2022</c:v>
              </c:pt>
              <c:pt idx="6">
                <c:v>2023</c:v>
              </c:pt>
            </c:numLit>
          </c:cat>
          <c:val>
            <c:numRef>
              <c:f>('buvju veidi'!$L$11,'buvju veidi'!$Q$11,'buvju veidi'!$V$11,'buvju veidi'!$AA$11,'buvju veidi'!$AF$11,'buvju veidi'!$AK$11,'buvju veidi'!$AP$11)</c:f>
              <c:numCache>
                <c:formatCode>#,##0</c:formatCode>
                <c:ptCount val="7"/>
                <c:pt idx="0">
                  <c:v>293.01709523579984</c:v>
                </c:pt>
                <c:pt idx="1">
                  <c:v>375.13697508799999</c:v>
                </c:pt>
                <c:pt idx="2">
                  <c:v>396.35831325900006</c:v>
                </c:pt>
                <c:pt idx="3">
                  <c:v>284.93042736299998</c:v>
                </c:pt>
                <c:pt idx="4">
                  <c:v>164.31125654000002</c:v>
                </c:pt>
                <c:pt idx="5">
                  <c:v>94.911129160000002</c:v>
                </c:pt>
                <c:pt idx="6">
                  <c:v>29.460386889999999</c:v>
                </c:pt>
              </c:numCache>
            </c:numRef>
          </c:val>
          <c:extLst>
            <c:ext xmlns:c16="http://schemas.microsoft.com/office/drawing/2014/chart" uri="{C3380CC4-5D6E-409C-BE32-E72D297353CC}">
              <c16:uniqueId val="{00000000-D62D-4BDF-B43C-B25EBFB09E83}"/>
            </c:ext>
          </c:extLst>
        </c:ser>
        <c:ser>
          <c:idx val="1"/>
          <c:order val="1"/>
          <c:tx>
            <c:v>Ieceres</c:v>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D62D-4BDF-B43C-B25EBFB09E83}"/>
                </c:ext>
              </c:extLst>
            </c:dLbl>
            <c:dLbl>
              <c:idx val="1"/>
              <c:delete val="1"/>
              <c:extLst>
                <c:ext xmlns:c15="http://schemas.microsoft.com/office/drawing/2012/chart" uri="{CE6537A1-D6FC-4f65-9D91-7224C49458BB}"/>
                <c:ext xmlns:c16="http://schemas.microsoft.com/office/drawing/2014/chart" uri="{C3380CC4-5D6E-409C-BE32-E72D297353CC}">
                  <c16:uniqueId val="{00000002-D62D-4BDF-B43C-B25EBFB09E83}"/>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('buvju veidi'!$L$12,'buvju veidi'!$Q$12,'buvju veidi'!$V$12,'buvju veidi'!$AA$12,'buvju veidi'!$AF$12,'buvju veidi'!$AK$12,'buvju veidi'!$AP$12)</c:f>
              <c:numCache>
                <c:formatCode>#,##0</c:formatCode>
                <c:ptCount val="7"/>
                <c:pt idx="0">
                  <c:v>0</c:v>
                </c:pt>
                <c:pt idx="1">
                  <c:v>0</c:v>
                </c:pt>
                <c:pt idx="2">
                  <c:v>22.136867649793206</c:v>
                </c:pt>
                <c:pt idx="3">
                  <c:v>109.54794309876958</c:v>
                </c:pt>
                <c:pt idx="4">
                  <c:v>109.57882774839149</c:v>
                </c:pt>
                <c:pt idx="5">
                  <c:v>109.12163902531913</c:v>
                </c:pt>
                <c:pt idx="6">
                  <c:v>79.897963292711083</c:v>
                </c:pt>
              </c:numCache>
            </c:numRef>
          </c:val>
          <c:extLst>
            <c:ext xmlns:c16="http://schemas.microsoft.com/office/drawing/2014/chart" uri="{C3380CC4-5D6E-409C-BE32-E72D297353CC}">
              <c16:uniqueId val="{00000003-D62D-4BDF-B43C-B25EBFB09E83}"/>
            </c:ext>
          </c:extLst>
        </c:ser>
        <c:dLbls>
          <c:showLegendKey val="0"/>
          <c:showVal val="1"/>
          <c:showCatName val="0"/>
          <c:showSerName val="0"/>
          <c:showPercent val="0"/>
          <c:showBubbleSize val="0"/>
        </c:dLbls>
        <c:gapWidth val="150"/>
        <c:overlap val="100"/>
        <c:axId val="364641728"/>
        <c:axId val="364642056"/>
      </c:barChart>
      <c:catAx>
        <c:axId val="36464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crossAx val="364642056"/>
        <c:crosses val="autoZero"/>
        <c:auto val="1"/>
        <c:lblAlgn val="ctr"/>
        <c:lblOffset val="100"/>
        <c:noMultiLvlLbl val="0"/>
      </c:catAx>
      <c:valAx>
        <c:axId val="364642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crossAx val="364641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aseline="0"/>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Apstiprināti projekti</c:v>
          </c:tx>
          <c:spPr>
            <a:solidFill>
              <a:schemeClr val="accent1"/>
            </a:solidFill>
            <a:ln>
              <a:noFill/>
            </a:ln>
            <a:effectLst/>
          </c:spPr>
          <c:invertIfNegative val="0"/>
          <c:dLbls>
            <c:dLbl>
              <c:idx val="2"/>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extLst>
                <c:ext xmlns:c16="http://schemas.microsoft.com/office/drawing/2014/chart" uri="{C3380CC4-5D6E-409C-BE32-E72D297353CC}">
                  <c16:uniqueId val="{00000003-9C72-4414-A9B6-1DF11310A4C3}"/>
                </c:ext>
              </c:extLst>
            </c:dLbl>
            <c:dLbl>
              <c:idx val="3"/>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extLst>
                <c:ext xmlns:c16="http://schemas.microsoft.com/office/drawing/2014/chart" uri="{C3380CC4-5D6E-409C-BE32-E72D297353CC}">
                  <c16:uniqueId val="{00000004-9C72-4414-A9B6-1DF11310A4C3}"/>
                </c:ext>
              </c:extLst>
            </c:dLbl>
            <c:dLbl>
              <c:idx val="4"/>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extLst>
                <c:ext xmlns:c16="http://schemas.microsoft.com/office/drawing/2014/chart" uri="{C3380CC4-5D6E-409C-BE32-E72D297353CC}">
                  <c16:uniqueId val="{00000005-9C72-4414-A9B6-1DF11310A4C3}"/>
                </c:ext>
              </c:extLst>
            </c:dLbl>
            <c:dLbl>
              <c:idx val="5"/>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extLst>
                <c:ext xmlns:c16="http://schemas.microsoft.com/office/drawing/2014/chart" uri="{C3380CC4-5D6E-409C-BE32-E72D297353CC}">
                  <c16:uniqueId val="{00000006-9C72-4414-A9B6-1DF11310A4C3}"/>
                </c:ext>
              </c:extLst>
            </c:dLbl>
            <c:dLbl>
              <c:idx val="6"/>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extLst>
                <c:ext xmlns:c16="http://schemas.microsoft.com/office/drawing/2014/chart" uri="{C3380CC4-5D6E-409C-BE32-E72D297353CC}">
                  <c16:uniqueId val="{00000007-9C72-4414-A9B6-1DF11310A4C3}"/>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2017</c:v>
              </c:pt>
              <c:pt idx="1">
                <c:v>2018</c:v>
              </c:pt>
              <c:pt idx="2">
                <c:v>2019</c:v>
              </c:pt>
              <c:pt idx="3">
                <c:v>2020</c:v>
              </c:pt>
              <c:pt idx="4">
                <c:v>2021</c:v>
              </c:pt>
              <c:pt idx="5">
                <c:v>2022</c:v>
              </c:pt>
            </c:numLit>
          </c:cat>
          <c:val>
            <c:numRef>
              <c:f>('buvju veidi'!$L$13,'buvju veidi'!$Q$13,'buvju veidi'!$V$13,'buvju veidi'!$AA$13,'buvju veidi'!$AF$13,'buvju veidi'!$AK$13,'buvju veidi'!$AP$13)</c:f>
              <c:numCache>
                <c:formatCode>#,##0</c:formatCode>
                <c:ptCount val="7"/>
                <c:pt idx="0">
                  <c:v>0</c:v>
                </c:pt>
                <c:pt idx="1">
                  <c:v>0</c:v>
                </c:pt>
                <c:pt idx="2">
                  <c:v>60.009349</c:v>
                </c:pt>
                <c:pt idx="3">
                  <c:v>98.43748100000002</c:v>
                </c:pt>
                <c:pt idx="4">
                  <c:v>163.976315</c:v>
                </c:pt>
                <c:pt idx="5">
                  <c:v>221.816517</c:v>
                </c:pt>
                <c:pt idx="6">
                  <c:v>147.59686600000001</c:v>
                </c:pt>
              </c:numCache>
            </c:numRef>
          </c:val>
          <c:extLst>
            <c:ext xmlns:c16="http://schemas.microsoft.com/office/drawing/2014/chart" uri="{C3380CC4-5D6E-409C-BE32-E72D297353CC}">
              <c16:uniqueId val="{00000000-9C72-4414-A9B6-1DF11310A4C3}"/>
            </c:ext>
          </c:extLst>
        </c:ser>
        <c:ser>
          <c:idx val="1"/>
          <c:order val="1"/>
          <c:tx>
            <c:v>Ieceres</c:v>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9C72-4414-A9B6-1DF11310A4C3}"/>
                </c:ext>
              </c:extLst>
            </c:dLbl>
            <c:dLbl>
              <c:idx val="1"/>
              <c:delete val="1"/>
              <c:extLst>
                <c:ext xmlns:c15="http://schemas.microsoft.com/office/drawing/2012/chart" uri="{CE6537A1-D6FC-4f65-9D91-7224C49458BB}"/>
                <c:ext xmlns:c16="http://schemas.microsoft.com/office/drawing/2014/chart" uri="{C3380CC4-5D6E-409C-BE32-E72D297353CC}">
                  <c16:uniqueId val="{00000008-9C72-4414-A9B6-1DF11310A4C3}"/>
                </c:ext>
              </c:extLst>
            </c:dLbl>
            <c:dLbl>
              <c:idx val="2"/>
              <c:delete val="1"/>
              <c:extLst>
                <c:ext xmlns:c15="http://schemas.microsoft.com/office/drawing/2012/chart" uri="{CE6537A1-D6FC-4f65-9D91-7224C49458BB}"/>
                <c:ext xmlns:c16="http://schemas.microsoft.com/office/drawing/2014/chart" uri="{C3380CC4-5D6E-409C-BE32-E72D297353CC}">
                  <c16:uniqueId val="{00000001-9C72-4414-A9B6-1DF11310A4C3}"/>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2017</c:v>
              </c:pt>
              <c:pt idx="1">
                <c:v>2018</c:v>
              </c:pt>
              <c:pt idx="2">
                <c:v>2019</c:v>
              </c:pt>
              <c:pt idx="3">
                <c:v>2020</c:v>
              </c:pt>
              <c:pt idx="4">
                <c:v>2021</c:v>
              </c:pt>
              <c:pt idx="5">
                <c:v>2022</c:v>
              </c:pt>
            </c:numLit>
          </c:cat>
          <c:val>
            <c:numRef>
              <c:f>('buvju veidi'!$L$14,'buvju veidi'!$Q$14,'buvju veidi'!$V$14,'buvju veidi'!$AA$14,'buvju veidi'!$AF$14,'buvju veidi'!$AK$14,'buvju veidi'!$AP$14)</c:f>
              <c:numCache>
                <c:formatCode>#,##0</c:formatCode>
                <c:ptCount val="7"/>
                <c:pt idx="0">
                  <c:v>0</c:v>
                </c:pt>
                <c:pt idx="1">
                  <c:v>0</c:v>
                </c:pt>
                <c:pt idx="2">
                  <c:v>0</c:v>
                </c:pt>
                <c:pt idx="3">
                  <c:v>95</c:v>
                </c:pt>
                <c:pt idx="4">
                  <c:v>145</c:v>
                </c:pt>
                <c:pt idx="5">
                  <c:v>145</c:v>
                </c:pt>
                <c:pt idx="6">
                  <c:v>100</c:v>
                </c:pt>
              </c:numCache>
            </c:numRef>
          </c:val>
          <c:extLst>
            <c:ext xmlns:c16="http://schemas.microsoft.com/office/drawing/2014/chart" uri="{C3380CC4-5D6E-409C-BE32-E72D297353CC}">
              <c16:uniqueId val="{00000002-9C72-4414-A9B6-1DF11310A4C3}"/>
            </c:ext>
          </c:extLst>
        </c:ser>
        <c:dLbls>
          <c:dLblPos val="ctr"/>
          <c:showLegendKey val="0"/>
          <c:showVal val="1"/>
          <c:showCatName val="0"/>
          <c:showSerName val="0"/>
          <c:showPercent val="0"/>
          <c:showBubbleSize val="0"/>
        </c:dLbls>
        <c:gapWidth val="150"/>
        <c:overlap val="100"/>
        <c:axId val="505370104"/>
        <c:axId val="505370432"/>
      </c:barChart>
      <c:catAx>
        <c:axId val="505370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crossAx val="505370432"/>
        <c:crosses val="autoZero"/>
        <c:auto val="1"/>
        <c:lblAlgn val="ctr"/>
        <c:lblOffset val="100"/>
        <c:noMultiLvlLbl val="0"/>
      </c:catAx>
      <c:valAx>
        <c:axId val="505370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crossAx val="505370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aseline="0"/>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4109892931272"/>
          <c:y val="0.10858154089504349"/>
          <c:w val="0.8783440767467724"/>
          <c:h val="0.66962089249070667"/>
        </c:manualLayout>
      </c:layout>
      <c:barChart>
        <c:barDir val="col"/>
        <c:grouping val="clustered"/>
        <c:varyColors val="0"/>
        <c:ser>
          <c:idx val="0"/>
          <c:order val="0"/>
          <c:tx>
            <c:v>Apstirināti ES fondu projekti</c:v>
          </c:tx>
          <c:spPr>
            <a:solidFill>
              <a:schemeClr val="accent1"/>
            </a:solidFill>
            <a:ln>
              <a:noFill/>
            </a:ln>
            <a:effectLst/>
          </c:spPr>
          <c:invertIfNegative val="0"/>
          <c:dLbls>
            <c:dLbl>
              <c:idx val="0"/>
              <c:layout>
                <c:manualLayout>
                  <c:x val="-1.5452538631346579E-2"/>
                  <c:y val="3.2679738562091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73-4E9D-BB04-92D5D989283E}"/>
                </c:ext>
              </c:extLst>
            </c:dLbl>
            <c:dLbl>
              <c:idx val="4"/>
              <c:layout>
                <c:manualLayout>
                  <c:x val="-8.8300220750551876E-3"/>
                  <c:y val="-1.1982432384018818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673-4E9D-BB04-92D5D989283E}"/>
                </c:ext>
              </c:extLst>
            </c:dLbl>
            <c:dLbl>
              <c:idx val="5"/>
              <c:layout>
                <c:manualLayout>
                  <c:x val="-4.415011037527593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673-4E9D-BB04-92D5D989283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7"/>
              <c:pt idx="0">
                <c:v>2017</c:v>
              </c:pt>
              <c:pt idx="1">
                <c:v>2018</c:v>
              </c:pt>
              <c:pt idx="2">
                <c:v>2019</c:v>
              </c:pt>
              <c:pt idx="3">
                <c:v>2020</c:v>
              </c:pt>
              <c:pt idx="4">
                <c:v>2021</c:v>
              </c:pt>
              <c:pt idx="5">
                <c:v>2022</c:v>
              </c:pt>
              <c:pt idx="6">
                <c:v>2023</c:v>
              </c:pt>
            </c:numLit>
          </c:cat>
          <c:val>
            <c:numRef>
              <c:f>('Kopā PASŪTĪTĀJI'!$Q$7,'Kopā PASŪTĪTĀJI'!$V$7,'Kopā PASŪTĪTĀJI'!$AA$7,'Kopā PASŪTĪTĀJI'!$AF$7,'Kopā PASŪTĪTĀJI'!$AK$7,'Kopā PASŪTĪTĀJI'!$AP$7,'Kopā PASŪTĪTĀJI'!$AU$7)</c:f>
              <c:numCache>
                <c:formatCode>#,##0</c:formatCode>
                <c:ptCount val="7"/>
                <c:pt idx="0">
                  <c:v>435.18757793000003</c:v>
                </c:pt>
                <c:pt idx="1">
                  <c:v>889.01998268999967</c:v>
                </c:pt>
                <c:pt idx="2">
                  <c:v>1092.6594320699996</c:v>
                </c:pt>
                <c:pt idx="3">
                  <c:v>854.57880623999995</c:v>
                </c:pt>
                <c:pt idx="4">
                  <c:v>368.85857550000014</c:v>
                </c:pt>
                <c:pt idx="5">
                  <c:v>205.15420148999996</c:v>
                </c:pt>
                <c:pt idx="6">
                  <c:v>55.869367319999995</c:v>
                </c:pt>
              </c:numCache>
            </c:numRef>
          </c:val>
          <c:extLst>
            <c:ext xmlns:c16="http://schemas.microsoft.com/office/drawing/2014/chart" uri="{C3380CC4-5D6E-409C-BE32-E72D297353CC}">
              <c16:uniqueId val="{00000000-1EA5-4E5F-8172-E8C3EA86C6D6}"/>
            </c:ext>
          </c:extLst>
        </c:ser>
        <c:ser>
          <c:idx val="1"/>
          <c:order val="1"/>
          <c:tx>
            <c:v>Apstiprināti projekti bez ES fondu finansējuma</c:v>
          </c:tx>
          <c:spPr>
            <a:solidFill>
              <a:schemeClr val="accent2"/>
            </a:solidFill>
            <a:ln>
              <a:noFill/>
            </a:ln>
            <a:effectLst/>
          </c:spPr>
          <c:invertIfNegative val="0"/>
          <c:dPt>
            <c:idx val="4"/>
            <c:invertIfNegative val="0"/>
            <c:bubble3D val="0"/>
            <c:extLst>
              <c:ext xmlns:c16="http://schemas.microsoft.com/office/drawing/2014/chart" uri="{C3380CC4-5D6E-409C-BE32-E72D297353CC}">
                <c16:uniqueId val="{00000001-1EA5-4E5F-8172-E8C3EA86C6D6}"/>
              </c:ext>
            </c:extLst>
          </c:dPt>
          <c:dLbls>
            <c:dLbl>
              <c:idx val="0"/>
              <c:layout>
                <c:manualLayout>
                  <c:x val="4.4150110375275938E-3"/>
                  <c:y val="3.26797385620903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73-4E9D-BB04-92D5D989283E}"/>
                </c:ext>
              </c:extLst>
            </c:dLbl>
            <c:dLbl>
              <c:idx val="1"/>
              <c:layout>
                <c:manualLayout>
                  <c:x val="4.415011037527593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73-4E9D-BB04-92D5D989283E}"/>
                </c:ext>
              </c:extLst>
            </c:dLbl>
            <c:dLbl>
              <c:idx val="2"/>
              <c:layout>
                <c:manualLayout>
                  <c:x val="4.4150110375275938E-3"/>
                  <c:y val="-5.991216192009408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73-4E9D-BB04-92D5D989283E}"/>
                </c:ext>
              </c:extLst>
            </c:dLbl>
            <c:dLbl>
              <c:idx val="3"/>
              <c:layout>
                <c:manualLayout>
                  <c:x val="6.622516556291390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73-4E9D-BB04-92D5D989283E}"/>
                </c:ext>
              </c:extLst>
            </c:dLbl>
            <c:dLbl>
              <c:idx val="5"/>
              <c:layout>
                <c:manualLayout>
                  <c:x val="-4.4150110375275938E-3"/>
                  <c:y val="6.53594771241830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73-4E9D-BB04-92D5D989283E}"/>
                </c:ext>
              </c:extLst>
            </c:dLbl>
            <c:dLbl>
              <c:idx val="6"/>
              <c:layout>
                <c:manualLayout>
                  <c:x val="1.5452538631346579E-2"/>
                  <c:y val="6.53594771241830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73-4E9D-BB04-92D5D989283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7"/>
              <c:pt idx="0">
                <c:v>2017</c:v>
              </c:pt>
              <c:pt idx="1">
                <c:v>2018</c:v>
              </c:pt>
              <c:pt idx="2">
                <c:v>2019</c:v>
              </c:pt>
              <c:pt idx="3">
                <c:v>2020</c:v>
              </c:pt>
              <c:pt idx="4">
                <c:v>2021</c:v>
              </c:pt>
              <c:pt idx="5">
                <c:v>2022</c:v>
              </c:pt>
              <c:pt idx="6">
                <c:v>2023</c:v>
              </c:pt>
            </c:numLit>
          </c:cat>
          <c:val>
            <c:numRef>
              <c:f>('Kopā PASŪTĪTĀJI'!$Q$12,'Kopā PASŪTĪTĀJI'!$V$12,'Kopā PASŪTĪTĀJI'!$AA$12,'Kopā PASŪTĪTĀJI'!$AF$12,'Kopā PASŪTĪTĀJI'!$AK$12,'Kopā PASŪTĪTĀJI'!$AP$12,'Kopā PASŪTĪTĀJI'!$AU$12)</c:f>
              <c:numCache>
                <c:formatCode>#,##0</c:formatCode>
                <c:ptCount val="7"/>
                <c:pt idx="0">
                  <c:v>435.95808000580007</c:v>
                </c:pt>
                <c:pt idx="1">
                  <c:v>489.55344772199999</c:v>
                </c:pt>
                <c:pt idx="2">
                  <c:v>593.22410097683746</c:v>
                </c:pt>
                <c:pt idx="3">
                  <c:v>589.81971045670684</c:v>
                </c:pt>
                <c:pt idx="4">
                  <c:v>528.87670899282693</c:v>
                </c:pt>
                <c:pt idx="5">
                  <c:v>373.78193418313487</c:v>
                </c:pt>
                <c:pt idx="6">
                  <c:v>200.07317538522713</c:v>
                </c:pt>
              </c:numCache>
            </c:numRef>
          </c:val>
          <c:extLst>
            <c:ext xmlns:c16="http://schemas.microsoft.com/office/drawing/2014/chart" uri="{C3380CC4-5D6E-409C-BE32-E72D297353CC}">
              <c16:uniqueId val="{00000002-1EA5-4E5F-8172-E8C3EA86C6D6}"/>
            </c:ext>
          </c:extLst>
        </c:ser>
        <c:dLbls>
          <c:showLegendKey val="0"/>
          <c:showVal val="1"/>
          <c:showCatName val="0"/>
          <c:showSerName val="0"/>
          <c:showPercent val="0"/>
          <c:showBubbleSize val="0"/>
        </c:dLbls>
        <c:gapWidth val="200"/>
        <c:axId val="166465168"/>
        <c:axId val="166465496"/>
      </c:barChart>
      <c:lineChart>
        <c:grouping val="standard"/>
        <c:varyColors val="0"/>
        <c:ser>
          <c:idx val="2"/>
          <c:order val="2"/>
          <c:tx>
            <c:v>Kopā apstiprināti projekti</c:v>
          </c:tx>
          <c:spPr>
            <a:ln w="28575" cap="rnd">
              <a:solidFill>
                <a:schemeClr val="accent3"/>
              </a:solidFill>
              <a:round/>
            </a:ln>
            <a:effectLst/>
          </c:spPr>
          <c:marker>
            <c:symbol val="diamond"/>
            <c:size val="5"/>
            <c:spPr>
              <a:solidFill>
                <a:schemeClr val="accent3"/>
              </a:solidFill>
              <a:ln w="9525">
                <a:solidFill>
                  <a:schemeClr val="accent3"/>
                </a:solidFill>
              </a:ln>
              <a:effectLst/>
            </c:spPr>
          </c:marker>
          <c:dLbls>
            <c:dLbl>
              <c:idx val="0"/>
              <c:layout>
                <c:manualLayout>
                  <c:x val="-5.5853920515574654E-2"/>
                  <c:y val="-1.40350877192983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A5-4E5F-8172-E8C3EA86C6D6}"/>
                </c:ext>
              </c:extLst>
            </c:dLbl>
            <c:dLbl>
              <c:idx val="1"/>
              <c:layout>
                <c:manualLayout>
                  <c:x val="-6.9543324395313383E-2"/>
                  <c:y val="-3.8717106236216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A5-4E5F-8172-E8C3EA86C6D6}"/>
                </c:ext>
              </c:extLst>
            </c:dLbl>
            <c:dLbl>
              <c:idx val="2"/>
              <c:layout>
                <c:manualLayout>
                  <c:x val="1.2889366272824866E-2"/>
                  <c:y val="-1.40350877192982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A5-4E5F-8172-E8C3EA86C6D6}"/>
                </c:ext>
              </c:extLst>
            </c:dLbl>
            <c:dLbl>
              <c:idx val="3"/>
              <c:layout>
                <c:manualLayout>
                  <c:x val="1.2889366272824814E-2"/>
                  <c:y val="-1.871345029239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A5-4E5F-8172-E8C3EA86C6D6}"/>
                </c:ext>
              </c:extLst>
            </c:dLbl>
            <c:dLbl>
              <c:idx val="4"/>
              <c:layout>
                <c:manualLayout>
                  <c:x val="1.7185821697099788E-2"/>
                  <c:y val="-7.01754385964912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EA5-4E5F-8172-E8C3EA86C6D6}"/>
                </c:ext>
              </c:extLst>
            </c:dLbl>
            <c:dLbl>
              <c:idx val="5"/>
              <c:layout>
                <c:manualLayout>
                  <c:x val="4.296455424274973E-3"/>
                  <c:y val="-3.27485380116959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EA5-4E5F-8172-E8C3EA86C6D6}"/>
                </c:ext>
              </c:extLst>
            </c:dLbl>
            <c:dLbl>
              <c:idx val="6"/>
              <c:layout>
                <c:manualLayout>
                  <c:x val="-3.5976951556552117E-2"/>
                  <c:y val="-5.1874839174515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EA5-4E5F-8172-E8C3EA86C6D6}"/>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('Kopā PASŪTĪTĀJI'!$Q$16,'Kopā PASŪTĪTĀJI'!$V$16,'Kopā PASŪTĪTĀJI'!$AA$16,'Kopā PASŪTĪTĀJI'!$AF$16,'Kopā PASŪTĪTĀJI'!$AK$16,'Kopā PASŪTĪTĀJI'!$AP$16,'Kopā PASŪTĪTĀJI'!$AU$16)</c:f>
              <c:numCache>
                <c:formatCode>#,##0</c:formatCode>
                <c:ptCount val="7"/>
                <c:pt idx="0">
                  <c:v>871.14565793580005</c:v>
                </c:pt>
                <c:pt idx="1">
                  <c:v>1378.5734304119997</c:v>
                </c:pt>
                <c:pt idx="2">
                  <c:v>1685.8835330468371</c:v>
                </c:pt>
                <c:pt idx="3">
                  <c:v>1444.3985166967068</c:v>
                </c:pt>
                <c:pt idx="4">
                  <c:v>897.73528449282708</c:v>
                </c:pt>
                <c:pt idx="5">
                  <c:v>578.9361356731348</c:v>
                </c:pt>
                <c:pt idx="6">
                  <c:v>255.94254270522714</c:v>
                </c:pt>
              </c:numCache>
            </c:numRef>
          </c:val>
          <c:smooth val="0"/>
          <c:extLst>
            <c:ext xmlns:c16="http://schemas.microsoft.com/office/drawing/2014/chart" uri="{C3380CC4-5D6E-409C-BE32-E72D297353CC}">
              <c16:uniqueId val="{0000000A-1EA5-4E5F-8172-E8C3EA86C6D6}"/>
            </c:ext>
          </c:extLst>
        </c:ser>
        <c:dLbls>
          <c:showLegendKey val="0"/>
          <c:showVal val="1"/>
          <c:showCatName val="0"/>
          <c:showSerName val="0"/>
          <c:showPercent val="0"/>
          <c:showBubbleSize val="0"/>
        </c:dLbls>
        <c:marker val="1"/>
        <c:smooth val="0"/>
        <c:axId val="166465168"/>
        <c:axId val="166465496"/>
      </c:lineChart>
      <c:catAx>
        <c:axId val="16646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166465496"/>
        <c:crosses val="autoZero"/>
        <c:auto val="1"/>
        <c:lblAlgn val="ctr"/>
        <c:lblOffset val="100"/>
        <c:noMultiLvlLbl val="0"/>
      </c:catAx>
      <c:valAx>
        <c:axId val="166465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166465168"/>
        <c:crosses val="autoZero"/>
        <c:crossBetween val="between"/>
      </c:valAx>
      <c:spPr>
        <a:noFill/>
        <a:ln>
          <a:noFill/>
        </a:ln>
        <a:effectLst/>
      </c:spPr>
    </c:plotArea>
    <c:legend>
      <c:legendPos val="b"/>
      <c:layout>
        <c:manualLayout>
          <c:xMode val="edge"/>
          <c:yMode val="edge"/>
          <c:x val="7.5342163355408401E-2"/>
          <c:y val="0.856483454274098"/>
          <c:w val="0.87441551009131391"/>
          <c:h val="0.14164616997663104"/>
        </c:manualLayout>
      </c:layout>
      <c:overlay val="0"/>
      <c:spPr>
        <a:noFill/>
        <a:ln>
          <a:solidFill>
            <a:schemeClr val="accent1"/>
          </a:solid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baseline="0">
          <a:latin typeface="Times New Roman" panose="02020603050405020304" pitchFamily="18" charset="0"/>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v>2018.gada aptauja</c:v>
          </c:tx>
          <c:spPr>
            <a:solidFill>
              <a:schemeClr val="accent1"/>
            </a:solidFill>
            <a:ln>
              <a:noFill/>
            </a:ln>
            <a:effectLst/>
          </c:spPr>
          <c:invertIfNegative val="0"/>
          <c:dLbls>
            <c:dLbl>
              <c:idx val="1"/>
              <c:layout>
                <c:manualLayout>
                  <c:x val="-4.4077134986225891E-3"/>
                  <c:y val="-6.065548899106299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54-41AE-8430-34C9EA2CE6FA}"/>
                </c:ext>
              </c:extLst>
            </c:dLbl>
            <c:dLbl>
              <c:idx val="2"/>
              <c:layout>
                <c:manualLayout>
                  <c:x val="-6.611570247933884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54-41AE-8430-34C9EA2CE6FA}"/>
                </c:ext>
              </c:extLst>
            </c:dLbl>
            <c:dLbl>
              <c:idx val="3"/>
              <c:layout>
                <c:manualLayout>
                  <c:x val="-2.2038567493113757E-3"/>
                  <c:y val="9.92555831265508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54-41AE-8430-34C9EA2CE6FA}"/>
                </c:ext>
              </c:extLst>
            </c:dLbl>
            <c:dLbl>
              <c:idx val="4"/>
              <c:layout>
                <c:manualLayout>
                  <c:x val="-6.6115702479339648E-3"/>
                  <c:y val="-6.61703887510339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54-41AE-8430-34C9EA2CE6FA}"/>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6"/>
              <c:pt idx="0">
                <c:v>2018</c:v>
              </c:pt>
              <c:pt idx="1">
                <c:v>2019</c:v>
              </c:pt>
              <c:pt idx="2">
                <c:v>2020</c:v>
              </c:pt>
              <c:pt idx="3">
                <c:v>2021</c:v>
              </c:pt>
              <c:pt idx="4">
                <c:v>2022</c:v>
              </c:pt>
              <c:pt idx="5">
                <c:v>2023</c:v>
              </c:pt>
            </c:numLit>
          </c:cat>
          <c:val>
            <c:numRef>
              <c:f>('2018 un 2019 ES fondu salidz'!$K$35,'2018 un 2019 ES fondu salidz'!$P$35,'2018 un 2019 ES fondu salidz'!$U$35,'2018 un 2019 ES fondu salidz'!$Z$35,'2018 un 2019 ES fondu salidz'!$AE$35,'2018 un 2019 ES fondu salidz'!$AJ$35,'2018 un 2019 ES fondu salidz'!$AO$35,'2018 un 2019 ES fondu salidz'!$AT$35)</c:f>
              <c:numCache>
                <c:formatCode>#,##0</c:formatCode>
                <c:ptCount val="6"/>
                <c:pt idx="0">
                  <c:v>1099.7340696349997</c:v>
                </c:pt>
                <c:pt idx="1">
                  <c:v>830.93840269999987</c:v>
                </c:pt>
                <c:pt idx="2">
                  <c:v>503.49718525999998</c:v>
                </c:pt>
                <c:pt idx="3">
                  <c:v>304.89154461999999</c:v>
                </c:pt>
                <c:pt idx="4">
                  <c:v>138.27020601999999</c:v>
                </c:pt>
                <c:pt idx="5">
                  <c:v>30.246405150000001</c:v>
                </c:pt>
              </c:numCache>
              <c:extLst/>
            </c:numRef>
          </c:val>
          <c:extLst>
            <c:ext xmlns:c16="http://schemas.microsoft.com/office/drawing/2014/chart" uri="{C3380CC4-5D6E-409C-BE32-E72D297353CC}">
              <c16:uniqueId val="{00000000-D40A-490B-AB64-A91DA1CED25F}"/>
            </c:ext>
          </c:extLst>
        </c:ser>
        <c:ser>
          <c:idx val="0"/>
          <c:order val="1"/>
          <c:tx>
            <c:v>2019.gada aptauja</c:v>
          </c:tx>
          <c:spPr>
            <a:solidFill>
              <a:schemeClr val="accent2"/>
            </a:solidFill>
            <a:ln>
              <a:noFill/>
            </a:ln>
            <a:effectLst/>
          </c:spPr>
          <c:invertIfNegative val="0"/>
          <c:dLbls>
            <c:dLbl>
              <c:idx val="0"/>
              <c:layout>
                <c:manualLayout>
                  <c:x val="4.407713498622569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54-41AE-8430-34C9EA2CE6FA}"/>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2018</c:v>
              </c:pt>
              <c:pt idx="1">
                <c:v>2019</c:v>
              </c:pt>
              <c:pt idx="2">
                <c:v>2020</c:v>
              </c:pt>
              <c:pt idx="3">
                <c:v>2021</c:v>
              </c:pt>
              <c:pt idx="4">
                <c:v>2022</c:v>
              </c:pt>
              <c:pt idx="5">
                <c:v>2023</c:v>
              </c:pt>
            </c:numLit>
          </c:cat>
          <c:val>
            <c:numRef>
              <c:f>('2018 un 2019 ES fondu salidz'!$K$12,'2018 un 2019 ES fondu salidz'!$P$12,'2018 un 2019 ES fondu salidz'!$U$12,'2018 un 2019 ES fondu salidz'!$Z$12,'2018 un 2019 ES fondu salidz'!$AE$12,'2018 un 2019 ES fondu salidz'!$AJ$12,'2018 un 2019 ES fondu salidz'!$AO$12,'2018 un 2019 ES fondu salidz'!$AT$12)</c:f>
              <c:numCache>
                <c:formatCode>#,##0</c:formatCode>
                <c:ptCount val="6"/>
                <c:pt idx="0">
                  <c:v>889.01998268999967</c:v>
                </c:pt>
                <c:pt idx="1">
                  <c:v>1152.4587193088146</c:v>
                </c:pt>
                <c:pt idx="2">
                  <c:v>897.55314726681286</c:v>
                </c:pt>
                <c:pt idx="3">
                  <c:v>504.44960749545658</c:v>
                </c:pt>
                <c:pt idx="4">
                  <c:v>383.2671260713737</c:v>
                </c:pt>
                <c:pt idx="5">
                  <c:v>225.52573895271109</c:v>
                </c:pt>
              </c:numCache>
              <c:extLst/>
            </c:numRef>
          </c:val>
          <c:extLst>
            <c:ext xmlns:c16="http://schemas.microsoft.com/office/drawing/2014/chart" uri="{C3380CC4-5D6E-409C-BE32-E72D297353CC}">
              <c16:uniqueId val="{00000001-D40A-490B-AB64-A91DA1CED25F}"/>
            </c:ext>
          </c:extLst>
        </c:ser>
        <c:dLbls>
          <c:dLblPos val="inEnd"/>
          <c:showLegendKey val="0"/>
          <c:showVal val="1"/>
          <c:showCatName val="0"/>
          <c:showSerName val="0"/>
          <c:showPercent val="0"/>
          <c:showBubbleSize val="0"/>
        </c:dLbls>
        <c:gapWidth val="200"/>
        <c:axId val="484069544"/>
        <c:axId val="484069216"/>
      </c:barChart>
      <c:catAx>
        <c:axId val="484069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crossAx val="484069216"/>
        <c:crosses val="autoZero"/>
        <c:auto val="1"/>
        <c:lblAlgn val="ctr"/>
        <c:lblOffset val="100"/>
        <c:noMultiLvlLbl val="0"/>
      </c:catAx>
      <c:valAx>
        <c:axId val="484069216"/>
        <c:scaling>
          <c:orientation val="minMax"/>
          <c:max val="1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crossAx val="484069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baseline="0"/>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64736160141151E-2"/>
          <c:y val="2.7496377815783488E-2"/>
          <c:w val="0.90571599506124278"/>
          <c:h val="0.71219980968514396"/>
        </c:manualLayout>
      </c:layout>
      <c:barChart>
        <c:barDir val="col"/>
        <c:grouping val="stacked"/>
        <c:varyColors val="0"/>
        <c:ser>
          <c:idx val="0"/>
          <c:order val="0"/>
          <c:tx>
            <c:strRef>
              <c:f>'Kopā PASŪTĪTĀJI'!$F$7</c:f>
              <c:strCache>
                <c:ptCount val="1"/>
                <c:pt idx="0">
                  <c:v>Apstiprināti projekti ar ES fondu finansējumu</c:v>
                </c:pt>
              </c:strCache>
            </c:strRef>
          </c:tx>
          <c:spPr>
            <a:solidFill>
              <a:schemeClr val="accent1"/>
            </a:solidFill>
            <a:ln>
              <a:noFill/>
            </a:ln>
            <a:effectLst/>
          </c:spPr>
          <c:invertIfNegative val="0"/>
          <c:dLbls>
            <c:dLbl>
              <c:idx val="5"/>
              <c:layout>
                <c:manualLayout>
                  <c:x val="0"/>
                  <c:y val="-6.214721167822149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48-4C41-9EBB-4CAA09C927F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effectLst>
                      <a:outerShdw blurRad="50800" dist="50800" dir="5400000" sx="1000" sy="1000" algn="ctr" rotWithShape="0">
                        <a:srgbClr val="000000">
                          <a:alpha val="43137"/>
                        </a:srgbClr>
                      </a:outerShdw>
                    </a:effectLst>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2018</c:v>
              </c:pt>
              <c:pt idx="1">
                <c:v>2019</c:v>
              </c:pt>
              <c:pt idx="2">
                <c:v>2020</c:v>
              </c:pt>
              <c:pt idx="3">
                <c:v>2021</c:v>
              </c:pt>
              <c:pt idx="4">
                <c:v>2022</c:v>
              </c:pt>
              <c:pt idx="5">
                <c:v>2023</c:v>
              </c:pt>
            </c:numLit>
          </c:cat>
          <c:val>
            <c:numRef>
              <c:f>('Kopā PASŪTĪTĀJI'!$Q$7,'Kopā PASŪTĪTĀJI'!$V$7,'Kopā PASŪTĪTĀJI'!$AA$7,'Kopā PASŪTĪTĀJI'!$AF$7,'Kopā PASŪTĪTĀJI'!$AK$7,'Kopā PASŪTĪTĀJI'!$AP$7,'Kopā PASŪTĪTĀJI'!$AU$7)</c:f>
              <c:numCache>
                <c:formatCode>#,##0</c:formatCode>
                <c:ptCount val="7"/>
                <c:pt idx="0">
                  <c:v>435.18757793000003</c:v>
                </c:pt>
                <c:pt idx="1">
                  <c:v>889.01998268999967</c:v>
                </c:pt>
                <c:pt idx="2">
                  <c:v>1092.6594320699996</c:v>
                </c:pt>
                <c:pt idx="3">
                  <c:v>854.57880623999995</c:v>
                </c:pt>
                <c:pt idx="4">
                  <c:v>368.85857550000014</c:v>
                </c:pt>
                <c:pt idx="5">
                  <c:v>205.15420148999996</c:v>
                </c:pt>
                <c:pt idx="6">
                  <c:v>55.869367319999995</c:v>
                </c:pt>
              </c:numCache>
            </c:numRef>
          </c:val>
          <c:extLst>
            <c:ext xmlns:c16="http://schemas.microsoft.com/office/drawing/2014/chart" uri="{C3380CC4-5D6E-409C-BE32-E72D297353CC}">
              <c16:uniqueId val="{00000000-AEA3-4094-A316-10FCB0F653CD}"/>
            </c:ext>
          </c:extLst>
        </c:ser>
        <c:ser>
          <c:idx val="1"/>
          <c:order val="1"/>
          <c:tx>
            <c:strRef>
              <c:f>'Kopā PASŪTĪTĀJI'!$F$8</c:f>
              <c:strCache>
                <c:ptCount val="1"/>
                <c:pt idx="0">
                  <c:v>Ieceres ar ES fondu finansējumu</c:v>
                </c:pt>
              </c:strCache>
            </c:strRef>
          </c:tx>
          <c:spPr>
            <a:solidFill>
              <a:schemeClr val="bg1">
                <a:lumMod val="6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AEA3-4094-A316-10FCB0F653CD}"/>
                </c:ext>
              </c:extLst>
            </c:dLbl>
            <c:dLbl>
              <c:idx val="1"/>
              <c:layout>
                <c:manualLayout>
                  <c:x val="0"/>
                  <c:y val="1.017034225303510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A3-4094-A316-10FCB0F653CD}"/>
                </c:ext>
              </c:extLst>
            </c:dLbl>
            <c:dLbl>
              <c:idx val="2"/>
              <c:layout>
                <c:manualLayout>
                  <c:x val="0"/>
                  <c:y val="4.170195856991979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A3-4094-A316-10FCB0F653C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effectLst>
                      <a:outerShdw blurRad="50800" dist="50800" dir="5400000" sx="1000" sy="1000" algn="ctr" rotWithShape="0">
                        <a:srgbClr val="000000">
                          <a:alpha val="43137"/>
                        </a:srgbClr>
                      </a:outerShdw>
                    </a:effectLst>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2018</c:v>
              </c:pt>
              <c:pt idx="1">
                <c:v>2019</c:v>
              </c:pt>
              <c:pt idx="2">
                <c:v>2020</c:v>
              </c:pt>
              <c:pt idx="3">
                <c:v>2021</c:v>
              </c:pt>
              <c:pt idx="4">
                <c:v>2022</c:v>
              </c:pt>
              <c:pt idx="5">
                <c:v>2023</c:v>
              </c:pt>
            </c:numLit>
          </c:cat>
          <c:val>
            <c:numRef>
              <c:f>('Kopā PASŪTĪTĀJI'!$Q$8,'Kopā PASŪTĪTĀJI'!$V$8,'Kopā PASŪTĪTĀJI'!$AA$8,'Kopā PASŪTĪTĀJI'!$AF$8,'Kopā PASŪTĪTĀJI'!$AK$8,'Kopā PASŪTĪTĀJI'!$AP$8,'Kopā PASŪTĪTĀJI'!$AU$8)</c:f>
              <c:numCache>
                <c:formatCode>#,##0</c:formatCode>
                <c:ptCount val="7"/>
                <c:pt idx="0">
                  <c:v>0</c:v>
                </c:pt>
                <c:pt idx="1">
                  <c:v>0</c:v>
                </c:pt>
                <c:pt idx="2">
                  <c:v>59.799287238814841</c:v>
                </c:pt>
                <c:pt idx="3">
                  <c:v>42.974341026812859</c:v>
                </c:pt>
                <c:pt idx="4">
                  <c:v>135.5910319954564</c:v>
                </c:pt>
                <c:pt idx="5">
                  <c:v>178.1129245813737</c:v>
                </c:pt>
                <c:pt idx="6">
                  <c:v>169.65637163271109</c:v>
                </c:pt>
              </c:numCache>
            </c:numRef>
          </c:val>
          <c:extLst>
            <c:ext xmlns:c16="http://schemas.microsoft.com/office/drawing/2014/chart" uri="{C3380CC4-5D6E-409C-BE32-E72D297353CC}">
              <c16:uniqueId val="{00000002-AEA3-4094-A316-10FCB0F653CD}"/>
            </c:ext>
          </c:extLst>
        </c:ser>
        <c:ser>
          <c:idx val="3"/>
          <c:order val="3"/>
          <c:tx>
            <c:v>Apstiprināti projekti bez ES fondu finansējuma</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effectLst>
                      <a:outerShdw blurRad="50800" dist="50800" dir="5400000" sx="1000" sy="1000" algn="ctr" rotWithShape="0">
                        <a:srgbClr val="000000">
                          <a:alpha val="43137"/>
                        </a:srgbClr>
                      </a:outerShdw>
                    </a:effectLst>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2018</c:v>
              </c:pt>
              <c:pt idx="1">
                <c:v>2019</c:v>
              </c:pt>
              <c:pt idx="2">
                <c:v>2020</c:v>
              </c:pt>
              <c:pt idx="3">
                <c:v>2021</c:v>
              </c:pt>
              <c:pt idx="4">
                <c:v>2022</c:v>
              </c:pt>
              <c:pt idx="5">
                <c:v>2023</c:v>
              </c:pt>
            </c:numLit>
          </c:cat>
          <c:val>
            <c:numRef>
              <c:f>('Kopā PASŪTĪTĀJI'!$Q$12,'Kopā PASŪTĪTĀJI'!$V$12,'Kopā PASŪTĪTĀJI'!$AA$12,'Kopā PASŪTĪTĀJI'!$AF$12,'Kopā PASŪTĪTĀJI'!$AK$12,'Kopā PASŪTĪTĀJI'!$AP$12,'Kopā PASŪTĪTĀJI'!$AU$12)</c:f>
              <c:numCache>
                <c:formatCode>#,##0</c:formatCode>
                <c:ptCount val="7"/>
                <c:pt idx="0">
                  <c:v>435.95808000580007</c:v>
                </c:pt>
                <c:pt idx="1">
                  <c:v>489.55344772199999</c:v>
                </c:pt>
                <c:pt idx="2">
                  <c:v>593.22410097683746</c:v>
                </c:pt>
                <c:pt idx="3">
                  <c:v>589.81971045670684</c:v>
                </c:pt>
                <c:pt idx="4">
                  <c:v>528.87670899282693</c:v>
                </c:pt>
                <c:pt idx="5">
                  <c:v>373.78193418313487</c:v>
                </c:pt>
                <c:pt idx="6">
                  <c:v>200.07317538522713</c:v>
                </c:pt>
              </c:numCache>
            </c:numRef>
          </c:val>
          <c:extLst>
            <c:ext xmlns:c16="http://schemas.microsoft.com/office/drawing/2014/chart" uri="{C3380CC4-5D6E-409C-BE32-E72D297353CC}">
              <c16:uniqueId val="{00000003-AEA3-4094-A316-10FCB0F653CD}"/>
            </c:ext>
          </c:extLst>
        </c:ser>
        <c:ser>
          <c:idx val="4"/>
          <c:order val="4"/>
          <c:tx>
            <c:v>Ieceres bez ES fondu finansējuma</c:v>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effectLst>
                      <a:outerShdw blurRad="50800" dist="50800" dir="5400000" sx="1000" sy="1000" algn="ctr" rotWithShape="0">
                        <a:srgbClr val="000000">
                          <a:alpha val="43137"/>
                        </a:srgbClr>
                      </a:outerShdw>
                    </a:effectLst>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2018</c:v>
              </c:pt>
              <c:pt idx="1">
                <c:v>2019</c:v>
              </c:pt>
              <c:pt idx="2">
                <c:v>2020</c:v>
              </c:pt>
              <c:pt idx="3">
                <c:v>2021</c:v>
              </c:pt>
              <c:pt idx="4">
                <c:v>2022</c:v>
              </c:pt>
              <c:pt idx="5">
                <c:v>2023</c:v>
              </c:pt>
            </c:numLit>
          </c:cat>
          <c:val>
            <c:numRef>
              <c:f>('Kopā PASŪTĪTĀJI'!$Q$13,'Kopā PASŪTĪTĀJI'!$V$13,'Kopā PASŪTĪTĀJI'!$AA$13,'Kopā PASŪTĪTĀJI'!$AF$13,'Kopā PASŪTĪTĀJI'!$AK$13,'Kopā PASŪTĪTĀJI'!$AP$13,'Kopā PASŪTĪTĀJI'!$AU$13)</c:f>
              <c:numCache>
                <c:formatCode>#,##0</c:formatCode>
                <c:ptCount val="7"/>
                <c:pt idx="0">
                  <c:v>0</c:v>
                </c:pt>
                <c:pt idx="1">
                  <c:v>0</c:v>
                </c:pt>
                <c:pt idx="2">
                  <c:v>93.775042260000021</c:v>
                </c:pt>
                <c:pt idx="3">
                  <c:v>244.30903149</c:v>
                </c:pt>
                <c:pt idx="4">
                  <c:v>291.54236790415143</c:v>
                </c:pt>
                <c:pt idx="5">
                  <c:v>269.26137430168455</c:v>
                </c:pt>
                <c:pt idx="6">
                  <c:v>180.07618014519875</c:v>
                </c:pt>
              </c:numCache>
            </c:numRef>
          </c:val>
          <c:extLst>
            <c:ext xmlns:c16="http://schemas.microsoft.com/office/drawing/2014/chart" uri="{C3380CC4-5D6E-409C-BE32-E72D297353CC}">
              <c16:uniqueId val="{00000004-AEA3-4094-A316-10FCB0F653CD}"/>
            </c:ext>
          </c:extLst>
        </c:ser>
        <c:dLbls>
          <c:showLegendKey val="0"/>
          <c:showVal val="0"/>
          <c:showCatName val="0"/>
          <c:showSerName val="0"/>
          <c:showPercent val="0"/>
          <c:showBubbleSize val="0"/>
        </c:dLbls>
        <c:gapWidth val="150"/>
        <c:overlap val="100"/>
        <c:axId val="512709072"/>
        <c:axId val="512711040"/>
      </c:barChart>
      <c:lineChart>
        <c:grouping val="standard"/>
        <c:varyColors val="0"/>
        <c:ser>
          <c:idx val="2"/>
          <c:order val="2"/>
          <c:tx>
            <c:v>Kopā</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effectLst>
                      <a:outerShdw blurRad="50800" dist="50800" dir="5400000" sx="1000" sy="1000" algn="ctr" rotWithShape="0">
                        <a:srgbClr val="000000">
                          <a:alpha val="43137"/>
                        </a:srgbClr>
                      </a:outerShdw>
                    </a:effectLst>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6"/>
              <c:pt idx="0">
                <c:v>2018</c:v>
              </c:pt>
              <c:pt idx="1">
                <c:v>2019</c:v>
              </c:pt>
              <c:pt idx="2">
                <c:v>2020</c:v>
              </c:pt>
              <c:pt idx="3">
                <c:v>2021</c:v>
              </c:pt>
              <c:pt idx="4">
                <c:v>2022</c:v>
              </c:pt>
              <c:pt idx="5">
                <c:v>2023</c:v>
              </c:pt>
              <c:extLst>
                <c:ext xmlns:c15="http://schemas.microsoft.com/office/drawing/2012/chart" uri="{02D57815-91ED-43cb-92C2-25804820EDAC}">
                  <c15:autoCat val="1"/>
                </c:ext>
              </c:extLst>
            </c:strLit>
          </c:cat>
          <c:val>
            <c:numRef>
              <c:f>('Kopā PASŪTĪTĀJI'!$Q$19,'Kopā PASŪTĪTĀJI'!$V$19,'Kopā PASŪTĪTĀJI'!$AA$19,'Kopā PASŪTĪTĀJI'!$AF$19,'Kopā PASŪTĪTĀJI'!$AK$19,'Kopā PASŪTĪTĀJI'!$AP$19,'Kopā PASŪTĪTĀJI'!$AU$19)</c:f>
              <c:numCache>
                <c:formatCode>#,##0</c:formatCode>
                <c:ptCount val="7"/>
                <c:pt idx="0">
                  <c:v>871.14565793580005</c:v>
                </c:pt>
                <c:pt idx="1">
                  <c:v>1378.5734304119997</c:v>
                </c:pt>
                <c:pt idx="2">
                  <c:v>1839.457862545652</c:v>
                </c:pt>
                <c:pt idx="3">
                  <c:v>1731.6818892135198</c:v>
                </c:pt>
                <c:pt idx="4">
                  <c:v>1324.8686843924349</c:v>
                </c:pt>
                <c:pt idx="5">
                  <c:v>1026.3104345561931</c:v>
                </c:pt>
                <c:pt idx="6">
                  <c:v>605.67509448313695</c:v>
                </c:pt>
              </c:numCache>
            </c:numRef>
          </c:val>
          <c:smooth val="0"/>
          <c:extLst>
            <c:ext xmlns:c16="http://schemas.microsoft.com/office/drawing/2014/chart" uri="{C3380CC4-5D6E-409C-BE32-E72D297353CC}">
              <c16:uniqueId val="{00000005-AEA3-4094-A316-10FCB0F653CD}"/>
            </c:ext>
          </c:extLst>
        </c:ser>
        <c:dLbls>
          <c:showLegendKey val="0"/>
          <c:showVal val="0"/>
          <c:showCatName val="0"/>
          <c:showSerName val="0"/>
          <c:showPercent val="0"/>
          <c:showBubbleSize val="0"/>
        </c:dLbls>
        <c:marker val="1"/>
        <c:smooth val="0"/>
        <c:axId val="512709072"/>
        <c:axId val="512711040"/>
      </c:lineChart>
      <c:catAx>
        <c:axId val="51270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effectLst>
                  <a:outerShdw blurRad="50800" dist="50800" dir="5400000" sx="1000" sy="1000" algn="ctr" rotWithShape="0">
                    <a:srgbClr val="000000">
                      <a:alpha val="43137"/>
                    </a:srgbClr>
                  </a:outerShdw>
                </a:effectLst>
                <a:latin typeface="+mn-lt"/>
                <a:ea typeface="+mn-ea"/>
                <a:cs typeface="+mn-cs"/>
              </a:defRPr>
            </a:pPr>
            <a:endParaRPr lang="lv-LV"/>
          </a:p>
        </c:txPr>
        <c:crossAx val="512711040"/>
        <c:crosses val="autoZero"/>
        <c:auto val="1"/>
        <c:lblAlgn val="ctr"/>
        <c:lblOffset val="100"/>
        <c:noMultiLvlLbl val="0"/>
      </c:catAx>
      <c:valAx>
        <c:axId val="512711040"/>
        <c:scaling>
          <c:orientation val="minMax"/>
          <c:max val="19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effectLst>
                  <a:outerShdw blurRad="50800" dist="50800" dir="5400000" sx="1000" sy="1000" algn="ctr" rotWithShape="0">
                    <a:srgbClr val="000000">
                      <a:alpha val="43137"/>
                    </a:srgbClr>
                  </a:outerShdw>
                </a:effectLst>
                <a:latin typeface="+mn-lt"/>
                <a:ea typeface="+mn-ea"/>
                <a:cs typeface="+mn-cs"/>
              </a:defRPr>
            </a:pPr>
            <a:endParaRPr lang="lv-LV"/>
          </a:p>
        </c:txPr>
        <c:crossAx val="512709072"/>
        <c:crosses val="autoZero"/>
        <c:crossBetween val="between"/>
      </c:valAx>
      <c:spPr>
        <a:noFill/>
        <a:ln w="25400">
          <a:noFill/>
        </a:ln>
        <a:effectLst/>
      </c:spPr>
    </c:plotArea>
    <c:legend>
      <c:legendPos val="r"/>
      <c:legendEntry>
        <c:idx val="4"/>
        <c:delete val="1"/>
      </c:legendEntry>
      <c:layout>
        <c:manualLayout>
          <c:xMode val="edge"/>
          <c:yMode val="edge"/>
          <c:x val="9.5604491947601476E-3"/>
          <c:y val="0.81234265039579201"/>
          <c:w val="0.97792289523505294"/>
          <c:h val="0.184806809507377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effectLst>
                <a:outerShdw blurRad="50800" dist="50800" dir="5400000" sx="1000" sy="1000" algn="ctr" rotWithShape="0">
                  <a:srgbClr val="000000">
                    <a:alpha val="43137"/>
                  </a:srgbClr>
                </a:outerShdw>
              </a:effectLst>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effectLst>
            <a:outerShdw blurRad="50800" dist="50800" dir="5400000" sx="1000" sy="1000" algn="ctr" rotWithShape="0">
              <a:srgbClr val="000000">
                <a:alpha val="43137"/>
              </a:srgbClr>
            </a:outerShdw>
          </a:effectLst>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03926-8FDD-4104-90F5-8C676D81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28261</Words>
  <Characters>16110</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Gusts Sproģis</cp:lastModifiedBy>
  <cp:revision>10</cp:revision>
  <cp:lastPrinted>2019-08-01T05:52:00Z</cp:lastPrinted>
  <dcterms:created xsi:type="dcterms:W3CDTF">2019-09-19T07:06:00Z</dcterms:created>
  <dcterms:modified xsi:type="dcterms:W3CDTF">2019-09-19T07:29:00Z</dcterms:modified>
</cp:coreProperties>
</file>